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LİSANSÜSTÜ EĞİTİM VE ÖĞRETİM YÖNETMELİĞİ</w:t>
      </w:r>
    </w:p>
    <w:p>
      <w:pPr>
        <w:jc w:val="center"/>
      </w:pPr>
      <w:r>
        <w:rPr>
          <w:b/>
        </w:rPr>
        <w:t>Lisansüstü - Bilimsel Hazırlık, Özel Öğrenci, Yatay Geçiş, Kayıt ve Öğretim Planı</w:t>
      </w:r>
    </w:p>
    <w:p>
      <w:r>
        <w:t>Bu belge, RAG indekslemesi için kaynak yönetmeliğin ilgili maddeleri korunarak bölünmüştür.</w:t>
      </w:r>
    </w:p>
    <w:p/>
    <w:p>
      <w:pPr>
        <w:pStyle w:val="Heading2"/>
      </w:pPr>
      <w:r>
        <w:t>YILDIZ TEKNİK ÜNİVERSİTESİ LİSANSÜSTÜ EĞİTİM VE ÖĞRETİM YÖNETMELİĞİ</w:t>
      </w:r>
    </w:p>
    <w:p>
      <w:pPr>
        <w:pStyle w:val="Heading1"/>
      </w:pPr>
      <w:r>
        <w:t>BİRİNCİ BÖLÜM</w:t>
      </w:r>
    </w:p>
    <w:p>
      <w:pPr>
        <w:spacing w:after="80"/>
      </w:pPr>
      <w:r>
        <w:t>Başlangıç Hükümleri</w:t>
      </w:r>
    </w:p>
    <w:p>
      <w:pPr>
        <w:spacing w:after="80"/>
      </w:pPr>
      <w:r>
        <w:t>Bölünmüş içerik: Lisansüstü - Bilimsel Hazırlık, Özel Öğrenci, Yatay Geçiş, Kayıt ve Öğretim Planı</w:t>
      </w:r>
    </w:p>
    <w:p>
      <w:pPr>
        <w:pStyle w:val="Heading2"/>
      </w:pPr>
      <w:r>
        <w:t>MADDE 31- (1) Lisansüstü programlara kabul edilen öğrencilerden lisans veya yüksek lisans derecesini farklı alanlardan ya da diğer yükseköğretim kurumlarından almış olan yüksek lisans/doktora programı adayları için bilimsel hazırlık programı uygulanabilir.</w:t>
      </w:r>
    </w:p>
    <w:p>
      <w:pPr>
        <w:spacing w:after="80"/>
      </w:pPr>
      <w:r>
        <w:t>(2) Bilimsel hazırlık programında alınması zorunlu dersler, ilgili lisansüstü programını tamamlamak için gerekli görülen derslerin yerine geçemez. Ancak bilimsel hazırlık programındaki bir öğrenci, bilimsel hazırlık derslerinin yanı sıra enstitü anabilim/anasanat dalı başkanlığının önerisi ve EYK’nın onayı ile lisansüstü programa yönelik dersler de alabilir.</w:t>
      </w:r>
    </w:p>
    <w:p>
      <w:pPr>
        <w:spacing w:after="80"/>
      </w:pPr>
      <w:r>
        <w:t>(3) Bilimsel hazırlık programı ile ilgili devam, ders sınavları, ders notları, derslerden başarılı sayılma koşulları, ders tekrarı, kayıt silme ve diğer hususlar Senato tarafından belirlenir.</w:t>
      </w:r>
    </w:p>
    <w:p>
      <w:pPr>
        <w:spacing w:after="80"/>
      </w:pPr>
      <w:r>
        <w:t>(4) Bilimsel hazırlık programının süresi en çok iki yarıyıldır. Yaz öğretimi bu süreye dahil edilmez. Bu süre dönem izinleri dışında uzatılamaz ve süre sonunda başarılı olamayan öğrencinin ilişiği kesilir. Bu programda geçirilen süre yüksek lisans veya doktora programı sürelerine dahil edilmez.</w:t>
      </w:r>
    </w:p>
    <w:p>
      <w:pPr>
        <w:spacing w:after="80"/>
      </w:pPr>
      <w:r>
        <w:t>Özel öğrenci kabulü</w:t>
      </w:r>
    </w:p>
    <w:p>
      <w:pPr>
        <w:pStyle w:val="Heading2"/>
      </w:pPr>
      <w:r>
        <w:t>MADDE 32- (1) Diğer yükseköğretim kurumlarında yüksek lisans, doktora ya da sanatta yeterlik programına kayıtlı olan öğrenciler, kayıtlı olduğu enstitü anabilim/anasanat dalı başkanlığının onayı ile özel öğrenci olarak kabul edilebilir. Özel öğrencilerin aldığı ve başarılı olduğu derslerin muafiyet işlemleri kayıtlı olduğu enstitü anabilim/anasanat dalı başkanlığı tarafından yürütülür. Özel öğrenci kabul koşulları ve diğer hükümler Senato tarafından belirlenir.</w:t>
      </w:r>
    </w:p>
    <w:p>
      <w:pPr>
        <w:spacing w:after="80"/>
      </w:pPr>
      <w:r>
        <w:t>Yatay geçiş yoluyla öğrenci kabulü</w:t>
      </w:r>
    </w:p>
    <w:p>
      <w:pPr>
        <w:pStyle w:val="Heading2"/>
      </w:pPr>
      <w:r>
        <w:t>MADDE 33- (1) Kayıtlı olunan lisansüstü programında veya diğer yükseköğretim kurumlarının lisansüstü programlarında en az bir yarıyılı tamamlamış olan başarılı öğrenci, diğer lisansüstü programlarına yatay geçiş yoluyla kabul edilebilir. Yatay geçiş yoluyla öğrenci kabulüne ilişkin diğer hükümler Senato tarafından belirlenir.</w:t>
      </w:r>
    </w:p>
    <w:p>
      <w:pPr>
        <w:spacing w:after="80"/>
      </w:pPr>
      <w:r>
        <w:t>Lisansüstü programlara kayıt</w:t>
      </w:r>
    </w:p>
    <w:p>
      <w:pPr>
        <w:pStyle w:val="Heading2"/>
      </w:pPr>
      <w:r>
        <w:t>MADDE 34- (1) Lisansüstü programlara kabul edilen öğrencilerin kayıtlarına ilişkin hükümler Senato tarafından belirlenir.</w:t>
      </w:r>
    </w:p>
    <w:p>
      <w:pPr>
        <w:spacing w:after="80"/>
      </w:pPr>
      <w:r>
        <w:t>Öğretim planı, programlar, sınavlar ve değerlendirme</w:t>
      </w:r>
    </w:p>
    <w:p>
      <w:pPr>
        <w:pStyle w:val="Heading2"/>
      </w:pPr>
      <w:r>
        <w:t>MADDE 35- (1) Öğretim planı, lisansüstü programdan mezun olunabilmesi için alınması gereken zorunlu/seçmeli dersler, tez, seminer ve benzeri çalışmaları ile kredi toplamlarıdır. Öğretim planları Senato tarafından belirlenir.</w:t>
      </w:r>
    </w:p>
    <w:p>
      <w:pPr>
        <w:spacing w:after="80"/>
      </w:pPr>
      <w:r>
        <w:t>(2) Bir yarıyılda hangi lisansüstü derslerin açılacağı ve bu derslerin doktora veya eşdeğeri lisansüstü eğitim mezunu hangi öğretim elemanları ile 2547 sayılı Kanunun ek 46 ncı maddesi uyarınca görevlendirilen araştırmacılar tarafından verileceği, enstitü anabilim/anasanat dalı başkanının önerisi üzerine EYK tarafından belirlenir.</w:t>
      </w:r>
    </w:p>
    <w:p>
      <w:pPr>
        <w:spacing w:after="80"/>
      </w:pPr>
      <w:r>
        <w:t>(3) Lisansüstü programların kredi veya Yükseköğretim Kurulu tarafından ilgili programın yer aldığı diploma düzeyi ve alan için Türkiye Yükseköğretim Yeterlilikler Çerçevesine göre belirlenen kredi aralığı ve öğrencilerin çalışma saati göz önünde tutularak Senato tarafından belirlenen AKTS kredisine göre oluşturulmasında aşağıdaki hususlar dikkate alınır:</w:t>
      </w:r>
    </w:p>
    <w:p>
      <w:pPr>
        <w:spacing w:after="80"/>
      </w:pPr>
      <w:r>
        <w:t>a) Bir lisansüstü dersin yarıyıl yerel kredi değeri, bir yarıyıl devam eden dersin haftalık teorik ders saatinin tamamı ile haftalık uygulama veya laboratuvar saatinin yarısının toplamıdır.</w:t>
      </w:r>
    </w:p>
    <w:p>
      <w:pPr>
        <w:spacing w:after="80"/>
      </w:pPr>
      <w:r>
        <w:t>b) İlgili diploma programını bitiren öğrencinin kazanacağı bilgi, beceri ve yetkinliklere o dersin katkısını ifade eden öğrenim kazanımları ile açıkça belirlenmiş teorik veya uygulamalı ders saatleri ve öğrenciler için öngörülen diğer faaliyetler için gerekli çalışma saatleri de göz önünde bulundurularak hesaplanan AKTS ders kredileri Senato tarafından belirlenir.</w:t>
      </w:r>
    </w:p>
    <w:p>
      <w:pPr>
        <w:spacing w:after="80"/>
      </w:pPr>
      <w:r>
        <w:t>(4) Bilimsel araştırma teknikleri ile araştırma ve yayın etiği konularını içeren en az bir dersin lisansüstü eğitim sırasında alınması zorunludur.</w:t>
      </w:r>
    </w:p>
    <w:p>
      <w:pPr>
        <w:spacing w:after="80"/>
      </w:pPr>
      <w:r>
        <w:t>(5) Enstitü Kurulu tarafından onaylanan dersler içinden hangilerinin öğrencilerin ders programlarında yer alacağına, öğrenci ile birlikte öğrencinin danışmanı karar verir. Danışmanlık görevi tez danışmanı atanıncaya kadar, enstitü anabilim/anasanat dalı başkanı veya koordinatör tarafından yürütülür.</w:t>
      </w:r>
    </w:p>
    <w:p>
      <w:pPr>
        <w:spacing w:after="80"/>
      </w:pPr>
      <w:r>
        <w:t>(6) Öğrencinin herhangi bir yarıyıldan sonra programına devam edebilmesi için gerekli ek başarı koşulları Senato tarafından belirlenir.</w:t>
      </w:r>
    </w:p>
    <w:p>
      <w:pPr>
        <w:spacing w:after="80"/>
      </w:pPr>
      <w:r>
        <w:t>(7) Yeterlik, seviye tespit veya ders başarılarını ölçen tüm sınavlar, kâğıt ortamında ve tüm adaylara eş zamanlı olarak yapılabileceği gibi, alan ve zorluk düzeyine göre tasnif edilerek güvenli biçimde saklanan bir soru bankasından, her bir adaya farklı zamanlarda farklı soru sorulmasına izin verecek şekilde elektronik ortamda da yapılabilir. Sınavlarda sorulacak soruların hazırlanması, soru bankasının oluşturulması ve şifrelenmesi, sınav sorularının kâğıt ortamında veya elektronik ortamda saklanması ile sınav güvenliğinin sağlanmasına ilişkin hususlar Senato tarafından belirlenir.</w:t>
      </w:r>
    </w:p>
    <w:p>
      <w:pPr>
        <w:spacing w:after="80"/>
      </w:pPr>
      <w:r>
        <w:t>(8) Lisansüstü programlarındaki dersler aşağıdaki not sistemine göre değerlendirilir:</w:t>
      </w:r>
    </w:p>
    <w:p>
      <w:pPr>
        <w:spacing w:after="80"/>
      </w:pPr>
      <w:r>
        <w:t>AA harf notunun katsayısı 4,00'dır.</w:t>
      </w:r>
    </w:p>
    <w:p>
      <w:pPr>
        <w:spacing w:after="80"/>
      </w:pPr>
      <w:r>
        <w:t>BA harf notunun katsayısı 3,50'dir.</w:t>
      </w:r>
    </w:p>
    <w:p>
      <w:pPr>
        <w:spacing w:after="80"/>
      </w:pPr>
      <w:r>
        <w:t>BB harf notunun katsayısı 3,00'dır.</w:t>
      </w:r>
    </w:p>
    <w:p>
      <w:pPr>
        <w:spacing w:after="80"/>
      </w:pPr>
      <w:r>
        <w:t>CB harf notunun katsayısı 2,50'dir.</w:t>
      </w:r>
    </w:p>
    <w:p>
      <w:pPr>
        <w:spacing w:after="80"/>
      </w:pPr>
      <w:r>
        <w:t>CC harf notunun katsayısı 2,00'dır.</w:t>
      </w:r>
    </w:p>
    <w:p>
      <w:pPr>
        <w:spacing w:after="80"/>
      </w:pPr>
      <w:r>
        <w:t>DC harf notunun katsayısı 1,50'dir.</w:t>
      </w:r>
    </w:p>
    <w:p>
      <w:pPr>
        <w:spacing w:after="80"/>
      </w:pPr>
      <w:r>
        <w:t>DD harf notunun katsayısı 1,00'dır.</w:t>
      </w:r>
    </w:p>
    <w:p>
      <w:pPr>
        <w:spacing w:after="80"/>
      </w:pPr>
      <w:r>
        <w:t>FD harf notunun katsayısı 0,50'dir.</w:t>
      </w:r>
    </w:p>
    <w:p>
      <w:pPr>
        <w:spacing w:after="80"/>
      </w:pPr>
      <w:r>
        <w:t>FF harf notunun katsayısı 0,00'dır.</w:t>
      </w:r>
    </w:p>
    <w:p>
      <w:pPr>
        <w:spacing w:after="80"/>
      </w:pPr>
      <w:r>
        <w:t>(9) Yüzlük sisteme göre hesaplanan başarı notlarının dörtlük ve harfli sisteme göre karşılıkları ve başarı durumları aşağıda belirtilmiştir:</w:t>
      </w:r>
    </w:p>
    <w:p>
      <w:pPr>
        <w:spacing w:after="80"/>
      </w:pPr>
      <w:r>
        <w:t>90-100 puan aralığı: 4,00 katsayıya ve AA harf notuna denktir. Hem Yüksek Lisans hem de Doktora için "Başarılı" sayılır.</w:t>
      </w:r>
    </w:p>
    <w:p>
      <w:pPr>
        <w:spacing w:after="80"/>
      </w:pPr>
      <w:r>
        <w:t>80-89 puan aralığı: 3,50 katsayıya ve BA harf notuna denktir. Hem Yüksek Lisans hem de Doktora için "Başarılı" sayılır.</w:t>
      </w:r>
    </w:p>
    <w:p>
      <w:pPr>
        <w:spacing w:after="80"/>
      </w:pPr>
      <w:r>
        <w:t>70-79 puan aralığı: 3,00 katsayıya ve BB harf notuna denktir. Hem Yüksek Lisans hem de Doktora için "Başarılı" sayılır.</w:t>
      </w:r>
    </w:p>
    <w:p>
      <w:pPr>
        <w:spacing w:after="80"/>
      </w:pPr>
      <w:r>
        <w:t>60-69 puan aralığı: 2,50 katsayıya ve CB harf notuna denktir. Yüksek Lisans için "Başarılı" sayılırken, Doktora için "Başarısız" sayılır.</w:t>
      </w:r>
    </w:p>
    <w:p>
      <w:pPr>
        <w:spacing w:after="80"/>
      </w:pPr>
      <w:r>
        <w:t>50-59 puan aralığı: 2,00 katsayıya ve CC harf notuna denktir. Hem Yüksek Lisans hem de Doktora için "Başarısız" sayılır.</w:t>
      </w:r>
    </w:p>
    <w:p>
      <w:pPr>
        <w:spacing w:after="80"/>
      </w:pPr>
      <w:r>
        <w:t>40-49 puan aralığı: 1,50 katsayıya ve DC harf notuna denktir. Hem Yüksek Lisans hem de Doktora için "Başarısız" sayılır.</w:t>
      </w:r>
    </w:p>
    <w:p>
      <w:pPr>
        <w:spacing w:after="80"/>
      </w:pPr>
      <w:r>
        <w:t>30-39 puan aralığı: 1,00 katsayıya ve DD harf notuna denktir. Hem Yüksek Lisans hem de Doktora için "Başarısız" sayılır.</w:t>
      </w:r>
    </w:p>
    <w:p>
      <w:pPr>
        <w:spacing w:after="80"/>
      </w:pPr>
      <w:r>
        <w:t>20-29 puan aralığı: 0,50 katsayıya ve FD harf notuna denktir. Hem Yüksek Lisans hem de Doktora için "Başarısız" sayılır.</w:t>
      </w:r>
    </w:p>
    <w:p>
      <w:pPr>
        <w:spacing w:after="80"/>
      </w:pPr>
      <w:r>
        <w:t>00-19 puan aralığı: 0,00 katsayıya ve FF harf notuna denktir. Hem Yüksek Lisans hem de Doktora için "Başarısız" sayılır.</w:t>
      </w:r>
    </w:p>
    <w:p>
      <w:pPr>
        <w:spacing w:after="80"/>
      </w:pPr>
      <w:r>
        <w:t>Devamsız durumu: 0,00 katsayıya ve FD harf notuna denktir. Hem Yüksek Lisans hem de Doktora için "Başarısız" sayılır.</w:t>
      </w:r>
    </w:p>
    <w:p>
      <w:pPr>
        <w:spacing w:after="80"/>
      </w:pPr>
      <w:r>
        <w:t>Diğer hükümler</w:t>
      </w:r>
    </w:p>
    <w:p>
      <w:pPr>
        <w:pStyle w:val="Heading2"/>
      </w:pPr>
      <w:r>
        <w:t>MADDE 36- (1) Yüksek lisans ve doktora programları ile sanatta yeterlik çalışmasına, hangi lisans ve yüksek lisans programlarından mezun olanların başvurabileceği, Senato tarafından ilgili mevzuat hükümleri kapsamında belirlenebilir.</w:t>
      </w:r>
    </w:p>
    <w:p>
      <w:pPr>
        <w:spacing w:after="80"/>
      </w:pPr>
      <w:r>
        <w:t>(2) Yabancı uyruklu adaylar ile lisans eğitiminin tamamını yurt dışında tamamlayan Türkiye Cumhuriyeti vatandaşı adayların lisansüstü programlara kabulüne ilişkin usul ve esaslar Senato tarafından belirlenir.</w:t>
      </w:r>
    </w:p>
    <w:p>
      <w:pPr>
        <w:spacing w:after="80"/>
      </w:pPr>
      <w:r>
        <w:t>(3) Lisansüstü program kontenjanları, lisansüstü programlarda görev alabilecek öğretim üyesi sayısı ve mevcut öğretim üyesi başına düşen öğrenci sayısı dikkate alınarak, tezli yüksek lisans ve doktora programları için öğretim üyesi başına düşen tez danışmanlığı en fazla on dört, tezsiz yüksek lisans programları için ise tezli yüksek lisans ve doktora programları hariç en fazla on altı öğrenci düşecek şekilde belirlenir. Ancak, Yükseköğretim Kurulu ile yapılan protokol dahilinde ve Üniversite-sanayi iş birliği çerçevesinde yürütülen lisansüstü programlar için bu kontenjan %50’ye kadar artırılabilir.</w:t>
      </w:r>
    </w:p>
    <w:p>
      <w:pPr>
        <w:spacing w:after="80"/>
      </w:pPr>
      <w:r>
        <w:t>(4) Yükseköğretim Kurulu tarafından açılmasına izin verilen lisansüstü programlar, İstanbul ili dışında sürdürülemez.</w:t>
      </w:r>
    </w:p>
    <w:p>
      <w:pPr>
        <w:spacing w:after="80"/>
      </w:pPr>
      <w:r>
        <w:t>(5) Tezsiz yüksek lisans programları hariç, aynı anda birden fazla lisansüstü programa kayıt yaptırılamaz ve devam edilemez.</w:t>
      </w:r>
    </w:p>
    <w:p>
      <w:pPr>
        <w:spacing w:after="80"/>
      </w:pPr>
      <w:r>
        <w:t>(6) Afet ve salgınlarda, tez aşamasındaki öğrencilere talepleri halinde bir dönem, afet veya salgının aşamasına göre tekrar başvurmaları durumunda bir dönem daha olmak üzere en fazla iki dönem ek süre verilebilir, verilen bu ek süreler azami süreden sayılmaz.</w:t>
      </w:r>
    </w:p>
    <w:p>
      <w:pPr>
        <w:spacing w:after="80"/>
      </w:pPr>
      <w:r>
        <w:t>Yürürlükten kaldırılan yönetmelik</w:t>
      </w:r>
    </w:p>
    <w:p>
      <w:pPr>
        <w:pStyle w:val="Heading2"/>
      </w:pPr>
      <w:r>
        <w:t>MADDE 37- (1) 21/12/2016 tarihli ve 29925 sayılı Resmî Gazete’de yayımlanan Yıldız Teknik Üniversitesi Lisansüstü Eğitim ve Öğretim Yönetmeliği yürürlükten kaldırılmıştır.</w:t>
      </w:r>
    </w:p>
    <w:p>
      <w:pPr>
        <w:spacing w:after="80"/>
      </w:pPr>
      <w:r>
        <w:t>Geçiş hükümleri</w:t>
      </w:r>
    </w:p>
    <w:p>
      <w:pPr>
        <w:pStyle w:val="Heading2"/>
      </w:pPr>
      <w:r>
        <w:t>GEÇİCİ MADDE 1- (1) 6/2/2013 tarihinden önce tezsiz yüksek lisans programlarına kayıtlı olan veya mezun olan öğrenciler doktora programlarına başvurabilir.</w:t>
      </w:r>
    </w:p>
    <w:p>
      <w:pPr>
        <w:spacing w:after="80"/>
      </w:pPr>
      <w:r>
        <w:t>Yürürlük</w:t>
      </w:r>
    </w:p>
    <w:p>
      <w:pPr>
        <w:pStyle w:val="Heading2"/>
      </w:pPr>
      <w:r>
        <w:t>MADDE 38- (1) Bu Yönetmelik yayımı tarihinde yürürlüğe girer.</w:t>
      </w:r>
    </w:p>
    <w:p>
      <w:pPr>
        <w:spacing w:after="80"/>
      </w:pPr>
      <w:r>
        <w:t>Yürütme</w:t>
      </w:r>
    </w:p>
    <w:p>
      <w:pPr>
        <w:pStyle w:val="Heading2"/>
      </w:pPr>
      <w:r>
        <w:t>MADDE 39- (1) Bu Yönetmelik hükümlerini Yıldız Teknik Üniversitesi Rektörü yürütür.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