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016" w:rsidRPr="00DD50FD" w:rsidRDefault="00E43016" w:rsidP="00E43016">
      <w:pPr>
        <w:rPr>
          <w:rFonts w:ascii="Times New Roman" w:hAnsi="Times New Roman" w:cs="Times New Roman"/>
          <w:b/>
          <w:sz w:val="24"/>
          <w:szCs w:val="24"/>
        </w:rPr>
      </w:pPr>
      <w:r w:rsidRPr="00DD50FD">
        <w:rPr>
          <w:rFonts w:ascii="Times New Roman" w:hAnsi="Times New Roman" w:cs="Times New Roman"/>
          <w:b/>
          <w:sz w:val="24"/>
          <w:szCs w:val="24"/>
        </w:rPr>
        <w:t>DEDAN KIMATHI UNIVERSITY OF TECHNOLOGY</w:t>
      </w:r>
    </w:p>
    <w:p w:rsidR="00E43016" w:rsidRPr="00DD50FD" w:rsidRDefault="00E43016" w:rsidP="00E43016">
      <w:pPr>
        <w:rPr>
          <w:rFonts w:ascii="Times New Roman" w:hAnsi="Times New Roman" w:cs="Times New Roman"/>
          <w:b/>
          <w:sz w:val="24"/>
          <w:szCs w:val="24"/>
        </w:rPr>
      </w:pPr>
      <w:r w:rsidRPr="00DD50FD">
        <w:rPr>
          <w:rFonts w:ascii="Times New Roman" w:hAnsi="Times New Roman" w:cs="Times New Roman"/>
          <w:b/>
          <w:sz w:val="24"/>
          <w:szCs w:val="24"/>
        </w:rPr>
        <w:t>SCHOOL OF COMPUTER SCIENCE AND INFORMATION TECHNOLOGY</w:t>
      </w:r>
    </w:p>
    <w:p w:rsidR="00E43016" w:rsidRPr="00DD50FD" w:rsidRDefault="00E43016" w:rsidP="00E43016">
      <w:pPr>
        <w:rPr>
          <w:rFonts w:ascii="Times New Roman" w:hAnsi="Times New Roman" w:cs="Times New Roman"/>
          <w:b/>
          <w:sz w:val="24"/>
          <w:szCs w:val="24"/>
        </w:rPr>
      </w:pPr>
      <w:r w:rsidRPr="00DD50FD">
        <w:rPr>
          <w:rFonts w:ascii="Times New Roman" w:hAnsi="Times New Roman" w:cs="Times New Roman"/>
          <w:b/>
          <w:sz w:val="24"/>
          <w:szCs w:val="24"/>
        </w:rPr>
        <w:t>BACHELOR OF SCIENCE IN BUSINESS INFORMATION TECHNOLOGY</w:t>
      </w:r>
    </w:p>
    <w:p w:rsidR="00E43016" w:rsidRPr="00DD50FD" w:rsidRDefault="00E43016" w:rsidP="00E43016">
      <w:pPr>
        <w:rPr>
          <w:rFonts w:ascii="Times New Roman" w:hAnsi="Times New Roman" w:cs="Times New Roman"/>
          <w:b/>
          <w:sz w:val="24"/>
          <w:szCs w:val="24"/>
        </w:rPr>
      </w:pPr>
      <w:r w:rsidRPr="00DD50FD">
        <w:rPr>
          <w:rFonts w:ascii="Times New Roman" w:hAnsi="Times New Roman" w:cs="Times New Roman"/>
          <w:b/>
          <w:sz w:val="24"/>
          <w:szCs w:val="24"/>
        </w:rPr>
        <w:t>3</w:t>
      </w:r>
      <w:r w:rsidRPr="00DD50FD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Pr="00DD50FD">
        <w:rPr>
          <w:rFonts w:ascii="Times New Roman" w:hAnsi="Times New Roman" w:cs="Times New Roman"/>
          <w:b/>
          <w:sz w:val="24"/>
          <w:szCs w:val="24"/>
        </w:rPr>
        <w:t xml:space="preserve"> YEAR, 2</w:t>
      </w:r>
      <w:r w:rsidRPr="00DD50FD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DD50FD">
        <w:rPr>
          <w:rFonts w:ascii="Times New Roman" w:hAnsi="Times New Roman" w:cs="Times New Roman"/>
          <w:b/>
          <w:sz w:val="24"/>
          <w:szCs w:val="24"/>
        </w:rPr>
        <w:t xml:space="preserve"> SEMESTER (2022/2023 ACADEMIC YEAR)</w:t>
      </w:r>
    </w:p>
    <w:p w:rsidR="00E43016" w:rsidRPr="00DD50FD" w:rsidRDefault="00E43016" w:rsidP="00E43016">
      <w:pPr>
        <w:rPr>
          <w:rFonts w:ascii="Times New Roman" w:hAnsi="Times New Roman" w:cs="Times New Roman"/>
          <w:b/>
          <w:sz w:val="24"/>
          <w:szCs w:val="24"/>
        </w:rPr>
      </w:pPr>
    </w:p>
    <w:p w:rsidR="00E43016" w:rsidRPr="00DD50FD" w:rsidRDefault="00E43016" w:rsidP="00E43016">
      <w:pPr>
        <w:rPr>
          <w:rFonts w:ascii="Times New Roman" w:hAnsi="Times New Roman" w:cs="Times New Roman"/>
          <w:b/>
          <w:sz w:val="24"/>
          <w:szCs w:val="24"/>
        </w:rPr>
      </w:pPr>
      <w:r w:rsidRPr="00DD50FD">
        <w:rPr>
          <w:rFonts w:ascii="Times New Roman" w:hAnsi="Times New Roman" w:cs="Times New Roman"/>
          <w:b/>
          <w:sz w:val="24"/>
          <w:szCs w:val="24"/>
        </w:rPr>
        <w:t xml:space="preserve">BCM 2204 </w:t>
      </w:r>
      <w:proofErr w:type="gramStart"/>
      <w:r w:rsidRPr="00DD50FD">
        <w:rPr>
          <w:rFonts w:ascii="Times New Roman" w:hAnsi="Times New Roman" w:cs="Times New Roman"/>
          <w:b/>
          <w:sz w:val="24"/>
          <w:szCs w:val="24"/>
        </w:rPr>
        <w:t xml:space="preserve">FINANCIAL </w:t>
      </w:r>
      <w:r w:rsidRPr="00DD50FD">
        <w:rPr>
          <w:rFonts w:ascii="Times New Roman" w:hAnsi="Times New Roman" w:cs="Times New Roman"/>
          <w:b/>
          <w:sz w:val="24"/>
          <w:szCs w:val="24"/>
        </w:rPr>
        <w:t xml:space="preserve"> MANAGEMENT</w:t>
      </w:r>
      <w:proofErr w:type="gramEnd"/>
    </w:p>
    <w:p w:rsidR="00E43016" w:rsidRPr="00DD50FD" w:rsidRDefault="00E43016" w:rsidP="00E43016">
      <w:pPr>
        <w:rPr>
          <w:rFonts w:ascii="Times New Roman" w:hAnsi="Times New Roman" w:cs="Times New Roman"/>
          <w:b/>
          <w:sz w:val="24"/>
          <w:szCs w:val="24"/>
        </w:rPr>
      </w:pPr>
      <w:r w:rsidRPr="00DD50FD">
        <w:rPr>
          <w:rFonts w:ascii="Times New Roman" w:hAnsi="Times New Roman" w:cs="Times New Roman"/>
          <w:b/>
          <w:sz w:val="24"/>
          <w:szCs w:val="24"/>
        </w:rPr>
        <w:t>ASSIGNMENT 1</w:t>
      </w:r>
    </w:p>
    <w:p w:rsidR="00E43016" w:rsidRPr="00DD50FD" w:rsidRDefault="00E43016" w:rsidP="00E43016">
      <w:pPr>
        <w:rPr>
          <w:rFonts w:ascii="Times New Roman" w:hAnsi="Times New Roman" w:cs="Times New Roman"/>
          <w:b/>
          <w:sz w:val="24"/>
          <w:szCs w:val="24"/>
        </w:rPr>
      </w:pPr>
    </w:p>
    <w:p w:rsidR="00E43016" w:rsidRPr="00DD50FD" w:rsidRDefault="00E43016" w:rsidP="00E43016">
      <w:pPr>
        <w:rPr>
          <w:rFonts w:ascii="Times New Roman" w:hAnsi="Times New Roman" w:cs="Times New Roman"/>
          <w:b/>
          <w:sz w:val="24"/>
          <w:szCs w:val="24"/>
        </w:rPr>
      </w:pPr>
      <w:r w:rsidRPr="00DD50FD">
        <w:rPr>
          <w:rFonts w:ascii="Times New Roman" w:hAnsi="Times New Roman" w:cs="Times New Roman"/>
          <w:b/>
          <w:sz w:val="24"/>
          <w:szCs w:val="24"/>
        </w:rPr>
        <w:t>BRUNO ODWUOR C027-01-1436/2019</w:t>
      </w:r>
    </w:p>
    <w:p w:rsidR="00E43016" w:rsidRPr="00DD50FD" w:rsidRDefault="00E43016" w:rsidP="00E43016">
      <w:pPr>
        <w:rPr>
          <w:rFonts w:ascii="Times New Roman" w:hAnsi="Times New Roman" w:cs="Times New Roman"/>
          <w:b/>
          <w:sz w:val="24"/>
          <w:szCs w:val="24"/>
        </w:rPr>
      </w:pPr>
      <w:r w:rsidRPr="00DD50FD">
        <w:rPr>
          <w:rFonts w:ascii="Times New Roman" w:hAnsi="Times New Roman" w:cs="Times New Roman"/>
          <w:b/>
          <w:sz w:val="24"/>
          <w:szCs w:val="24"/>
        </w:rPr>
        <w:t>CALEB OKOTH C027-01-1437/2019</w:t>
      </w:r>
    </w:p>
    <w:p w:rsidR="00E43016" w:rsidRPr="00DD50FD" w:rsidRDefault="00E43016" w:rsidP="00E43016">
      <w:pPr>
        <w:rPr>
          <w:rFonts w:ascii="Times New Roman" w:hAnsi="Times New Roman" w:cs="Times New Roman"/>
          <w:b/>
          <w:sz w:val="24"/>
          <w:szCs w:val="24"/>
        </w:rPr>
      </w:pPr>
      <w:r w:rsidRPr="00DD50FD">
        <w:rPr>
          <w:rFonts w:ascii="Times New Roman" w:hAnsi="Times New Roman" w:cs="Times New Roman"/>
          <w:b/>
          <w:sz w:val="24"/>
          <w:szCs w:val="24"/>
        </w:rPr>
        <w:t>ALBERT WEKESA C027-01-1439/2019</w:t>
      </w:r>
    </w:p>
    <w:p w:rsidR="00861510" w:rsidRPr="00DD50FD" w:rsidRDefault="00861510">
      <w:pPr>
        <w:rPr>
          <w:b/>
          <w:i/>
          <w:u w:val="single"/>
        </w:rPr>
      </w:pPr>
    </w:p>
    <w:p w:rsidR="00E43016" w:rsidRDefault="00E43016"/>
    <w:p w:rsidR="00E43016" w:rsidRDefault="00E43016"/>
    <w:p w:rsidR="00E43016" w:rsidRDefault="00E43016"/>
    <w:p w:rsidR="00E43016" w:rsidRDefault="00E43016"/>
    <w:p w:rsidR="00E43016" w:rsidRDefault="00E43016"/>
    <w:p w:rsidR="00E43016" w:rsidRDefault="00E43016"/>
    <w:p w:rsidR="00E43016" w:rsidRDefault="00E43016"/>
    <w:p w:rsidR="00E43016" w:rsidRDefault="00E43016"/>
    <w:p w:rsidR="00E43016" w:rsidRDefault="00E43016"/>
    <w:p w:rsidR="00E43016" w:rsidRDefault="00E43016"/>
    <w:p w:rsidR="00E43016" w:rsidRDefault="00E43016"/>
    <w:p w:rsidR="00E43016" w:rsidRDefault="00E43016"/>
    <w:p w:rsidR="00E43016" w:rsidRDefault="00E43016"/>
    <w:p w:rsidR="00E43016" w:rsidRDefault="00E43016"/>
    <w:p w:rsidR="00E43016" w:rsidRDefault="00E43016"/>
    <w:p w:rsidR="00E43016" w:rsidRDefault="00E43016"/>
    <w:p w:rsidR="00E43016" w:rsidRDefault="00E43016"/>
    <w:p w:rsidR="00E43016" w:rsidRDefault="00E43016"/>
    <w:p w:rsidR="00E43016" w:rsidRDefault="00E43016" w:rsidP="00E43016">
      <w:pPr>
        <w:spacing w:line="240" w:lineRule="auto"/>
        <w:jc w:val="both"/>
      </w:pPr>
    </w:p>
    <w:p w:rsidR="00E43016" w:rsidRPr="00E43016" w:rsidRDefault="00E43016" w:rsidP="00E43016">
      <w:pPr>
        <w:spacing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43016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Classifications of the sources of fund </w:t>
      </w:r>
    </w:p>
    <w:p w:rsidR="00E43016" w:rsidRDefault="00E43016" w:rsidP="00E43016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Sources of funds can be classified into four different ways</w:t>
      </w:r>
    </w:p>
    <w:p w:rsidR="00E43016" w:rsidRDefault="00E43016" w:rsidP="00E43016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Classification according to the duration for which the funds are retained;</w:t>
      </w:r>
    </w:p>
    <w:p w:rsidR="00E43016" w:rsidRDefault="00E43016" w:rsidP="00E43016">
      <w:pPr>
        <w:pStyle w:val="ListParagraph"/>
        <w:numPr>
          <w:ilvl w:val="0"/>
          <w:numId w:val="1"/>
        </w:numPr>
        <w:spacing w:line="240" w:lineRule="auto"/>
        <w:rPr>
          <w:b w:val="0"/>
        </w:rPr>
      </w:pPr>
      <w:r>
        <w:rPr>
          <w:b w:val="0"/>
        </w:rPr>
        <w:t>Long term sources of funds – they are held for longer period of time e.g. 25 years. They are either refundable or nonrefundable.</w:t>
      </w:r>
    </w:p>
    <w:p w:rsidR="00E43016" w:rsidRDefault="00E43016" w:rsidP="00E43016">
      <w:pPr>
        <w:pStyle w:val="ListParagraph"/>
        <w:numPr>
          <w:ilvl w:val="0"/>
          <w:numId w:val="1"/>
        </w:numPr>
        <w:spacing w:line="240" w:lineRule="auto"/>
        <w:rPr>
          <w:b w:val="0"/>
        </w:rPr>
      </w:pPr>
      <w:r>
        <w:rPr>
          <w:b w:val="0"/>
        </w:rPr>
        <w:t>Permanent sources of funds – they are long term funds which are not refundable as long as the company is a going concern.</w:t>
      </w:r>
    </w:p>
    <w:p w:rsidR="00E43016" w:rsidRDefault="00E43016" w:rsidP="00E43016">
      <w:pPr>
        <w:pStyle w:val="ListParagraph"/>
        <w:numPr>
          <w:ilvl w:val="0"/>
          <w:numId w:val="1"/>
        </w:numPr>
        <w:spacing w:line="240" w:lineRule="auto"/>
        <w:rPr>
          <w:b w:val="0"/>
        </w:rPr>
      </w:pPr>
      <w:r>
        <w:rPr>
          <w:b w:val="0"/>
        </w:rPr>
        <w:t>Short term sources of fund – there are fund held for a short period, for example 2 years and then they are returned refunded to the provider.</w:t>
      </w:r>
    </w:p>
    <w:p w:rsidR="00E43016" w:rsidRDefault="00E43016" w:rsidP="00E43016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Classification according to the origin</w:t>
      </w:r>
    </w:p>
    <w:p w:rsidR="00E43016" w:rsidRDefault="00E43016" w:rsidP="00E43016">
      <w:pPr>
        <w:pStyle w:val="ListParagraph"/>
        <w:numPr>
          <w:ilvl w:val="0"/>
          <w:numId w:val="2"/>
        </w:numPr>
        <w:spacing w:line="240" w:lineRule="auto"/>
        <w:rPr>
          <w:b w:val="0"/>
        </w:rPr>
      </w:pPr>
      <w:r>
        <w:rPr>
          <w:b w:val="0"/>
        </w:rPr>
        <w:t>Internal sources of fund – these are funds that are raised within the organization</w:t>
      </w:r>
    </w:p>
    <w:p w:rsidR="00E43016" w:rsidRDefault="00E43016" w:rsidP="00E43016">
      <w:pPr>
        <w:pStyle w:val="ListParagraph"/>
        <w:numPr>
          <w:ilvl w:val="0"/>
          <w:numId w:val="2"/>
        </w:numPr>
        <w:spacing w:line="240" w:lineRule="auto"/>
        <w:rPr>
          <w:b w:val="0"/>
        </w:rPr>
      </w:pPr>
      <w:r>
        <w:rPr>
          <w:b w:val="0"/>
        </w:rPr>
        <w:t>External sources of fund – these are funds that are raised outside the organization</w:t>
      </w:r>
    </w:p>
    <w:p w:rsidR="00E43016" w:rsidRDefault="00E43016" w:rsidP="00E43016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Classification according to the relationship between the firm and the provider of capital.</w:t>
      </w:r>
    </w:p>
    <w:p w:rsidR="00E43016" w:rsidRDefault="00E43016" w:rsidP="00E43016">
      <w:pPr>
        <w:pStyle w:val="ListParagraph"/>
        <w:numPr>
          <w:ilvl w:val="0"/>
          <w:numId w:val="3"/>
        </w:numPr>
        <w:spacing w:line="240" w:lineRule="auto"/>
        <w:rPr>
          <w:b w:val="0"/>
        </w:rPr>
      </w:pPr>
      <w:r>
        <w:rPr>
          <w:b w:val="0"/>
        </w:rPr>
        <w:t xml:space="preserve">Common equity capital- these are funds provided by the owner of the firm, </w:t>
      </w:r>
      <w:proofErr w:type="spellStart"/>
      <w:r>
        <w:rPr>
          <w:b w:val="0"/>
        </w:rPr>
        <w:t>e.g</w:t>
      </w:r>
      <w:proofErr w:type="spellEnd"/>
      <w:r>
        <w:rPr>
          <w:b w:val="0"/>
        </w:rPr>
        <w:t xml:space="preserve"> ordinary share capital.</w:t>
      </w:r>
    </w:p>
    <w:p w:rsidR="00E43016" w:rsidRDefault="00E43016" w:rsidP="00E43016">
      <w:pPr>
        <w:pStyle w:val="ListParagraph"/>
        <w:numPr>
          <w:ilvl w:val="0"/>
          <w:numId w:val="3"/>
        </w:numPr>
        <w:spacing w:line="240" w:lineRule="auto"/>
        <w:rPr>
          <w:b w:val="0"/>
        </w:rPr>
      </w:pPr>
      <w:r>
        <w:rPr>
          <w:b w:val="0"/>
        </w:rPr>
        <w:t xml:space="preserve">Quasi capital- these are fund provided by other people who are not owners of the firm. </w:t>
      </w:r>
      <w:proofErr w:type="spellStart"/>
      <w:proofErr w:type="gramStart"/>
      <w:r>
        <w:rPr>
          <w:b w:val="0"/>
        </w:rPr>
        <w:t>e.g</w:t>
      </w:r>
      <w:proofErr w:type="spellEnd"/>
      <w:proofErr w:type="gramEnd"/>
      <w:r>
        <w:rPr>
          <w:b w:val="0"/>
        </w:rPr>
        <w:t xml:space="preserve"> preference share capital.</w:t>
      </w:r>
    </w:p>
    <w:p w:rsidR="00E43016" w:rsidRDefault="00E43016" w:rsidP="00E43016">
      <w:pPr>
        <w:pStyle w:val="ListParagraph"/>
        <w:numPr>
          <w:ilvl w:val="0"/>
          <w:numId w:val="3"/>
        </w:numPr>
        <w:spacing w:line="240" w:lineRule="auto"/>
        <w:rPr>
          <w:b w:val="0"/>
        </w:rPr>
      </w:pPr>
      <w:r>
        <w:rPr>
          <w:b w:val="0"/>
        </w:rPr>
        <w:t>Debt finance- they are provided by the creditors. E.g. debt holders</w:t>
      </w:r>
    </w:p>
    <w:p w:rsidR="00E43016" w:rsidRDefault="00E43016" w:rsidP="00E43016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Classification according to the rate of return</w:t>
      </w:r>
    </w:p>
    <w:p w:rsidR="00E43016" w:rsidRDefault="00E43016" w:rsidP="00E43016">
      <w:pPr>
        <w:pStyle w:val="ListParagraph"/>
        <w:numPr>
          <w:ilvl w:val="0"/>
          <w:numId w:val="4"/>
        </w:numPr>
        <w:spacing w:line="240" w:lineRule="auto"/>
        <w:rPr>
          <w:b w:val="0"/>
        </w:rPr>
      </w:pPr>
      <w:r>
        <w:rPr>
          <w:b w:val="0"/>
        </w:rPr>
        <w:t>Capital with fixed rate of return – this is capital which a pre- specified rate of return is paid each period.</w:t>
      </w:r>
    </w:p>
    <w:p w:rsidR="00E43016" w:rsidRDefault="00E43016" w:rsidP="00E43016">
      <w:pPr>
        <w:pStyle w:val="ListParagraph"/>
        <w:numPr>
          <w:ilvl w:val="0"/>
          <w:numId w:val="4"/>
        </w:numPr>
        <w:spacing w:line="240" w:lineRule="auto"/>
        <w:rPr>
          <w:b w:val="0"/>
        </w:rPr>
      </w:pPr>
      <w:r>
        <w:rPr>
          <w:b w:val="0"/>
        </w:rPr>
        <w:t xml:space="preserve">Capital with variable rate of return- different rates of return are paid each period depending on the firm’s performance. E.g. the </w:t>
      </w:r>
      <w:r w:rsidRPr="00E43016">
        <w:rPr>
          <w:b w:val="0"/>
        </w:rPr>
        <w:t>common e</w:t>
      </w:r>
      <w:r>
        <w:rPr>
          <w:b w:val="0"/>
        </w:rPr>
        <w:t>quity capital.</w:t>
      </w:r>
    </w:p>
    <w:p w:rsidR="00E43016" w:rsidRDefault="00E43016" w:rsidP="00E43016">
      <w:pPr>
        <w:tabs>
          <w:tab w:val="left" w:pos="-1440"/>
          <w:tab w:val="left" w:pos="-720"/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3"/>
          <w:tab w:val="left" w:pos="5669"/>
          <w:tab w:val="left" w:pos="6237"/>
          <w:tab w:val="left" w:pos="6803"/>
          <w:tab w:val="left" w:pos="7371"/>
          <w:tab w:val="left" w:pos="7937"/>
          <w:tab w:val="left" w:pos="8505"/>
          <w:tab w:val="left" w:pos="9071"/>
          <w:tab w:val="left" w:pos="9638"/>
          <w:tab w:val="left" w:pos="10205"/>
          <w:tab w:val="left" w:pos="10772"/>
        </w:tabs>
        <w:suppressAutoHyphens/>
        <w:spacing w:after="0" w:line="240" w:lineRule="auto"/>
        <w:jc w:val="both"/>
        <w:rPr>
          <w:rFonts w:ascii="Times New Roman" w:hAnsi="Times New Roman"/>
          <w:spacing w:val="-3"/>
          <w:sz w:val="24"/>
          <w:szCs w:val="24"/>
          <w:lang w:val="en-GB"/>
        </w:rPr>
      </w:pPr>
    </w:p>
    <w:p w:rsidR="00E43016" w:rsidRDefault="00E43016" w:rsidP="00E43016">
      <w:pPr>
        <w:tabs>
          <w:tab w:val="center" w:pos="4535"/>
        </w:tabs>
        <w:suppressAutoHyphens/>
        <w:spacing w:after="0" w:line="240" w:lineRule="auto"/>
        <w:jc w:val="both"/>
        <w:outlineLvl w:val="0"/>
        <w:rPr>
          <w:rFonts w:ascii="Times New Roman" w:hAnsi="Times New Roman"/>
          <w:spacing w:val="-3"/>
          <w:sz w:val="24"/>
          <w:szCs w:val="24"/>
          <w:lang w:val="en-GB"/>
        </w:rPr>
      </w:pPr>
    </w:p>
    <w:p w:rsidR="00E43016" w:rsidRPr="00E43016" w:rsidRDefault="00E43016" w:rsidP="00E43016">
      <w:pPr>
        <w:pStyle w:val="ListParagraph"/>
        <w:autoSpaceDE/>
        <w:autoSpaceDN/>
        <w:adjustRightInd/>
        <w:spacing w:after="0" w:line="360" w:lineRule="auto"/>
        <w:ind w:left="720"/>
        <w:jc w:val="left"/>
        <w:outlineLvl w:val="9"/>
        <w:rPr>
          <w:b w:val="0"/>
          <w:sz w:val="22"/>
          <w:szCs w:val="22"/>
          <w:u w:val="single"/>
        </w:rPr>
      </w:pPr>
      <w:r w:rsidRPr="00E43016">
        <w:rPr>
          <w:sz w:val="22"/>
          <w:szCs w:val="22"/>
          <w:u w:val="single"/>
        </w:rPr>
        <w:t>BASIS OF THE PERIOD</w:t>
      </w:r>
    </w:p>
    <w:p w:rsidR="00E43016" w:rsidRDefault="00E43016" w:rsidP="00E4301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different sources of funds can be classified into three parts on the basis of period. On the basis of period, sources of funds are;</w:t>
      </w:r>
    </w:p>
    <w:p w:rsidR="00E43016" w:rsidRPr="00E43016" w:rsidRDefault="00E43016" w:rsidP="00E43016">
      <w:pPr>
        <w:pStyle w:val="ListParagraph"/>
        <w:numPr>
          <w:ilvl w:val="0"/>
          <w:numId w:val="5"/>
        </w:numPr>
        <w:autoSpaceDE/>
        <w:autoSpaceDN/>
        <w:adjustRightInd/>
        <w:spacing w:after="0" w:line="360" w:lineRule="auto"/>
        <w:jc w:val="left"/>
        <w:outlineLvl w:val="9"/>
        <w:rPr>
          <w:b w:val="0"/>
        </w:rPr>
      </w:pPr>
      <w:r w:rsidRPr="00E43016">
        <w:rPr>
          <w:b w:val="0"/>
        </w:rPr>
        <w:t>Long-term Sources of Funds</w:t>
      </w:r>
    </w:p>
    <w:p w:rsidR="00E43016" w:rsidRPr="00E43016" w:rsidRDefault="00E43016" w:rsidP="00E43016">
      <w:pPr>
        <w:pStyle w:val="ListParagraph"/>
        <w:numPr>
          <w:ilvl w:val="0"/>
          <w:numId w:val="5"/>
        </w:numPr>
        <w:autoSpaceDE/>
        <w:autoSpaceDN/>
        <w:adjustRightInd/>
        <w:spacing w:after="0" w:line="360" w:lineRule="auto"/>
        <w:jc w:val="left"/>
        <w:outlineLvl w:val="9"/>
        <w:rPr>
          <w:b w:val="0"/>
        </w:rPr>
      </w:pPr>
      <w:r w:rsidRPr="00E43016">
        <w:rPr>
          <w:b w:val="0"/>
        </w:rPr>
        <w:t>Medium-term Sources of Funds</w:t>
      </w:r>
    </w:p>
    <w:p w:rsidR="00E43016" w:rsidRPr="00E43016" w:rsidRDefault="00E43016" w:rsidP="00E43016">
      <w:pPr>
        <w:pStyle w:val="ListParagraph"/>
        <w:numPr>
          <w:ilvl w:val="0"/>
          <w:numId w:val="5"/>
        </w:numPr>
        <w:autoSpaceDE/>
        <w:autoSpaceDN/>
        <w:adjustRightInd/>
        <w:spacing w:after="0" w:line="360" w:lineRule="auto"/>
        <w:jc w:val="left"/>
        <w:outlineLvl w:val="9"/>
        <w:rPr>
          <w:b w:val="0"/>
        </w:rPr>
      </w:pPr>
      <w:r w:rsidRPr="00E43016">
        <w:rPr>
          <w:b w:val="0"/>
        </w:rPr>
        <w:t>Short-term Sources of Funds</w:t>
      </w:r>
    </w:p>
    <w:p w:rsidR="00E43016" w:rsidRDefault="00E43016" w:rsidP="00E43016">
      <w:pPr>
        <w:spacing w:after="0" w:line="36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E43016" w:rsidRDefault="00E43016" w:rsidP="00E43016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43016">
        <w:rPr>
          <w:rFonts w:ascii="Times New Roman" w:hAnsi="Times New Roman"/>
          <w:b/>
          <w:bCs/>
          <w:iCs/>
          <w:sz w:val="24"/>
          <w:szCs w:val="24"/>
        </w:rPr>
        <w:t>Long term sources</w:t>
      </w:r>
      <w:r>
        <w:rPr>
          <w:rFonts w:ascii="Times New Roman" w:hAnsi="Times New Roman"/>
          <w:b/>
          <w:bCs/>
          <w:iCs/>
          <w:sz w:val="24"/>
          <w:szCs w:val="24"/>
        </w:rPr>
        <w:t xml:space="preserve"> of funds</w:t>
      </w:r>
    </w:p>
    <w:p w:rsidR="00E43016" w:rsidRDefault="00E43016" w:rsidP="00E4301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They fulfill the financial requirements of a business for </w:t>
      </w:r>
      <w:r>
        <w:rPr>
          <w:rFonts w:ascii="Times New Roman" w:hAnsi="Times New Roman"/>
          <w:i/>
          <w:iCs/>
          <w:sz w:val="24"/>
          <w:szCs w:val="24"/>
        </w:rPr>
        <w:t>a period more than 5 years. </w:t>
      </w:r>
    </w:p>
    <w:p w:rsidR="00E43016" w:rsidRDefault="00E43016" w:rsidP="00E4301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Such financing is generally required for the procurement of fixed assets such as plant, equipment, machinery etc. Long-term sources of funds include the following.</w:t>
      </w:r>
    </w:p>
    <w:p w:rsidR="00E43016" w:rsidRDefault="00E43016" w:rsidP="00E43016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43016" w:rsidRPr="00E43016" w:rsidRDefault="00E43016" w:rsidP="00E43016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 w:rsidRPr="00E43016">
        <w:rPr>
          <w:rFonts w:ascii="Times New Roman" w:hAnsi="Times New Roman"/>
          <w:sz w:val="24"/>
          <w:szCs w:val="24"/>
          <w:u w:val="single"/>
        </w:rPr>
        <w:t xml:space="preserve"> Shares</w:t>
      </w:r>
    </w:p>
    <w:p w:rsidR="00E43016" w:rsidRDefault="00E43016" w:rsidP="00E4301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 share is the amount of capital to be raised from the public and is divided into units of equal values called SHARES: There are two types of shares</w:t>
      </w:r>
    </w:p>
    <w:p w:rsidR="00E43016" w:rsidRPr="00E43016" w:rsidRDefault="00E43016" w:rsidP="00E43016">
      <w:pPr>
        <w:pStyle w:val="ListParagraph"/>
        <w:numPr>
          <w:ilvl w:val="0"/>
          <w:numId w:val="6"/>
        </w:numPr>
        <w:spacing w:after="0" w:line="360" w:lineRule="auto"/>
        <w:rPr>
          <w:b w:val="0"/>
        </w:rPr>
      </w:pPr>
      <w:r>
        <w:rPr>
          <w:b w:val="0"/>
        </w:rPr>
        <w:t xml:space="preserve">Equity shares - </w:t>
      </w:r>
      <w:r w:rsidRPr="00E43016">
        <w:rPr>
          <w:b w:val="0"/>
        </w:rPr>
        <w:t>These are shares that do not carry any special or preferential rights.</w:t>
      </w:r>
    </w:p>
    <w:p w:rsidR="00E1542D" w:rsidRPr="00E1542D" w:rsidRDefault="00E43016" w:rsidP="00E1542D">
      <w:pPr>
        <w:pStyle w:val="ListParagraph"/>
        <w:numPr>
          <w:ilvl w:val="0"/>
          <w:numId w:val="6"/>
        </w:numPr>
        <w:tabs>
          <w:tab w:val="left" w:pos="-72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3"/>
          <w:tab w:val="left" w:pos="5669"/>
          <w:tab w:val="left" w:pos="6237"/>
          <w:tab w:val="left" w:pos="6803"/>
          <w:tab w:val="left" w:pos="7371"/>
          <w:tab w:val="left" w:pos="7937"/>
          <w:tab w:val="left" w:pos="8505"/>
          <w:tab w:val="left" w:pos="9071"/>
          <w:tab w:val="left" w:pos="9638"/>
          <w:tab w:val="left" w:pos="10205"/>
          <w:tab w:val="left" w:pos="10772"/>
          <w:tab w:val="left" w:pos="11339"/>
        </w:tabs>
        <w:suppressAutoHyphens/>
        <w:spacing w:after="0" w:line="240" w:lineRule="auto"/>
        <w:rPr>
          <w:b w:val="0"/>
          <w:spacing w:val="-2"/>
          <w:lang w:val="en-GB"/>
        </w:rPr>
      </w:pPr>
      <w:r w:rsidRPr="00E1542D">
        <w:rPr>
          <w:b w:val="0"/>
        </w:rPr>
        <w:t>Preference shares</w:t>
      </w:r>
      <w:r w:rsidRPr="00E1542D">
        <w:rPr>
          <w:b w:val="0"/>
        </w:rPr>
        <w:t xml:space="preserve"> </w:t>
      </w:r>
      <w:proofErr w:type="gramStart"/>
      <w:r w:rsidR="00E1542D" w:rsidRPr="00E1542D">
        <w:rPr>
          <w:b w:val="0"/>
        </w:rPr>
        <w:t xml:space="preserve">-  </w:t>
      </w:r>
      <w:r w:rsidR="00E1542D" w:rsidRPr="00E1542D">
        <w:rPr>
          <w:b w:val="0"/>
        </w:rPr>
        <w:t>Preference</w:t>
      </w:r>
      <w:proofErr w:type="gramEnd"/>
      <w:r w:rsidR="00E1542D" w:rsidRPr="00E1542D">
        <w:rPr>
          <w:b w:val="0"/>
        </w:rPr>
        <w:t xml:space="preserve"> share capital is the capital raised by shareholders who are not the true owners of the company and combines features of equity and those of debt capital.</w:t>
      </w:r>
      <w:r w:rsidR="00E1542D" w:rsidRPr="00E1542D">
        <w:rPr>
          <w:b w:val="0"/>
          <w:spacing w:val="-2"/>
          <w:lang w:val="en-GB"/>
        </w:rPr>
        <w:t xml:space="preserve"> </w:t>
      </w:r>
    </w:p>
    <w:p w:rsidR="00E1542D" w:rsidRDefault="00E1542D" w:rsidP="00E1542D">
      <w:pPr>
        <w:tabs>
          <w:tab w:val="left" w:pos="-72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3"/>
          <w:tab w:val="left" w:pos="5669"/>
          <w:tab w:val="left" w:pos="6237"/>
          <w:tab w:val="left" w:pos="6803"/>
          <w:tab w:val="left" w:pos="7371"/>
          <w:tab w:val="left" w:pos="7937"/>
          <w:tab w:val="left" w:pos="8505"/>
          <w:tab w:val="left" w:pos="9071"/>
          <w:tab w:val="left" w:pos="9638"/>
          <w:tab w:val="left" w:pos="10205"/>
          <w:tab w:val="left" w:pos="10772"/>
          <w:tab w:val="left" w:pos="11339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sz w:val="24"/>
          <w:szCs w:val="24"/>
          <w:lang w:val="en-GB"/>
        </w:rPr>
      </w:pPr>
      <w:r>
        <w:rPr>
          <w:rFonts w:ascii="Times New Roman" w:hAnsi="Times New Roman"/>
          <w:spacing w:val="-2"/>
          <w:sz w:val="24"/>
          <w:szCs w:val="24"/>
          <w:lang w:val="en-GB"/>
        </w:rPr>
        <w:t>It is so called (quasi-equity) because it combines features of equity and those of debt. It is preference because it is preferred to ordinary share capital—this is because:</w:t>
      </w:r>
    </w:p>
    <w:p w:rsidR="00E1542D" w:rsidRDefault="00E1542D" w:rsidP="00E1542D">
      <w:pPr>
        <w:tabs>
          <w:tab w:val="left" w:pos="-72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3"/>
          <w:tab w:val="left" w:pos="5669"/>
          <w:tab w:val="left" w:pos="6237"/>
          <w:tab w:val="left" w:pos="6803"/>
          <w:tab w:val="left" w:pos="7371"/>
          <w:tab w:val="left" w:pos="7937"/>
          <w:tab w:val="left" w:pos="8505"/>
          <w:tab w:val="left" w:pos="9071"/>
          <w:tab w:val="left" w:pos="9638"/>
          <w:tab w:val="left" w:pos="10205"/>
          <w:tab w:val="left" w:pos="10772"/>
          <w:tab w:val="left" w:pos="11339"/>
        </w:tabs>
        <w:suppressAutoHyphens/>
        <w:spacing w:after="0" w:line="240" w:lineRule="auto"/>
        <w:ind w:left="1133" w:hanging="1133"/>
        <w:jc w:val="both"/>
        <w:rPr>
          <w:rFonts w:ascii="Times New Roman" w:hAnsi="Times New Roman"/>
          <w:spacing w:val="-2"/>
          <w:sz w:val="24"/>
          <w:szCs w:val="24"/>
          <w:lang w:val="en-GB"/>
        </w:rPr>
      </w:pPr>
      <w:r>
        <w:rPr>
          <w:rFonts w:ascii="Times New Roman" w:hAnsi="Times New Roman"/>
          <w:spacing w:val="-2"/>
          <w:sz w:val="24"/>
          <w:szCs w:val="24"/>
          <w:lang w:val="en-GB"/>
        </w:rPr>
        <w:tab/>
        <w:t>a.</w:t>
      </w:r>
      <w:r>
        <w:rPr>
          <w:rFonts w:ascii="Times New Roman" w:hAnsi="Times New Roman"/>
          <w:spacing w:val="-2"/>
          <w:sz w:val="24"/>
          <w:szCs w:val="24"/>
          <w:lang w:val="en-GB"/>
        </w:rPr>
        <w:tab/>
        <w:t>It is paid dividends first—preferred to dividend.</w:t>
      </w:r>
    </w:p>
    <w:p w:rsidR="00E1542D" w:rsidRDefault="00E1542D" w:rsidP="00E1542D">
      <w:pPr>
        <w:tabs>
          <w:tab w:val="left" w:pos="-72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3"/>
          <w:tab w:val="left" w:pos="5669"/>
          <w:tab w:val="left" w:pos="6237"/>
          <w:tab w:val="left" w:pos="6803"/>
          <w:tab w:val="left" w:pos="7371"/>
          <w:tab w:val="left" w:pos="7937"/>
          <w:tab w:val="left" w:pos="8505"/>
          <w:tab w:val="left" w:pos="9071"/>
          <w:tab w:val="left" w:pos="9638"/>
          <w:tab w:val="left" w:pos="10205"/>
          <w:tab w:val="left" w:pos="10772"/>
          <w:tab w:val="left" w:pos="11339"/>
        </w:tabs>
        <w:suppressAutoHyphens/>
        <w:spacing w:after="0" w:line="240" w:lineRule="auto"/>
        <w:ind w:left="1133" w:hanging="1133"/>
        <w:jc w:val="both"/>
        <w:rPr>
          <w:rFonts w:ascii="Times New Roman" w:hAnsi="Times New Roman"/>
          <w:spacing w:val="-2"/>
          <w:sz w:val="24"/>
          <w:szCs w:val="24"/>
          <w:lang w:val="en-GB"/>
        </w:rPr>
      </w:pPr>
      <w:r>
        <w:rPr>
          <w:rFonts w:ascii="Times New Roman" w:hAnsi="Times New Roman"/>
          <w:spacing w:val="-2"/>
          <w:sz w:val="24"/>
          <w:szCs w:val="24"/>
          <w:lang w:val="en-GB"/>
        </w:rPr>
        <w:tab/>
        <w:t>b.</w:t>
      </w:r>
      <w:r>
        <w:rPr>
          <w:rFonts w:ascii="Times New Roman" w:hAnsi="Times New Roman"/>
          <w:spacing w:val="-2"/>
          <w:sz w:val="24"/>
          <w:szCs w:val="24"/>
          <w:lang w:val="en-GB"/>
        </w:rPr>
        <w:tab/>
        <w:t>It is paid asset proceeds first—preferred to assets.</w:t>
      </w:r>
    </w:p>
    <w:p w:rsidR="00E43016" w:rsidRDefault="00E43016" w:rsidP="00E1542D">
      <w:pPr>
        <w:pStyle w:val="ListParagraph"/>
        <w:spacing w:after="0" w:line="360" w:lineRule="auto"/>
        <w:ind w:left="1080"/>
        <w:rPr>
          <w:b w:val="0"/>
        </w:rPr>
      </w:pPr>
    </w:p>
    <w:p w:rsidR="00E1542D" w:rsidRDefault="00E1542D" w:rsidP="00E1542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Debentures</w:t>
      </w:r>
    </w:p>
    <w:p w:rsidR="00E1542D" w:rsidRDefault="00E1542D" w:rsidP="00E1542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Debenture is a document issued by the company. It is a certificate issued by the company under its seal acknowledging a debt.  It is a loan borrowed by a company from an individual and is sold in the same way as shared.</w:t>
      </w:r>
    </w:p>
    <w:p w:rsidR="00E1542D" w:rsidRDefault="00E1542D" w:rsidP="00E1542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Types of Debentures</w:t>
      </w:r>
    </w:p>
    <w:p w:rsidR="00E1542D" w:rsidRDefault="00E1542D" w:rsidP="00E1542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Unsecured (Naked) debentures</w:t>
      </w:r>
      <w:r>
        <w:rPr>
          <w:rFonts w:ascii="Times New Roman" w:hAnsi="Times New Roman"/>
          <w:sz w:val="24"/>
          <w:szCs w:val="24"/>
        </w:rPr>
        <w:t>: Unsecured debentures are not given any security on assets of the company</w:t>
      </w:r>
    </w:p>
    <w:p w:rsidR="00E1542D" w:rsidRDefault="00E1542D" w:rsidP="00E1542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Secured</w:t>
      </w:r>
      <w:r>
        <w:rPr>
          <w:rFonts w:ascii="Times New Roman" w:hAnsi="Times New Roman"/>
          <w:sz w:val="24"/>
          <w:szCs w:val="24"/>
        </w:rPr>
        <w:t xml:space="preserve"> – these are debentures which are secured against company assets either with a fixed charge, where some specific assets are used as securities or under floating charge, where all the assets generally used as securities, therefore cannot pledge any specific charge to a particular assets.</w:t>
      </w:r>
    </w:p>
    <w:p w:rsidR="00E1542D" w:rsidRDefault="00E1542D" w:rsidP="00E1542D">
      <w:pPr>
        <w:spacing w:after="0" w:line="360" w:lineRule="auto"/>
        <w:rPr>
          <w:rFonts w:ascii="Times New Roman" w:hAnsi="Times New Roman"/>
          <w:vanish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Naked/unsecured</w:t>
      </w:r>
      <w:r>
        <w:rPr>
          <w:rFonts w:ascii="Times New Roman" w:hAnsi="Times New Roman"/>
          <w:sz w:val="24"/>
          <w:szCs w:val="24"/>
        </w:rPr>
        <w:t xml:space="preserve"> – they are not secured by any asset but on good/faith that the company w</w:t>
      </w:r>
      <w:r>
        <w:rPr>
          <w:rFonts w:ascii="Times New Roman" w:hAnsi="Times New Roman"/>
          <w:sz w:val="24"/>
          <w:szCs w:val="24"/>
        </w:rPr>
        <w:t xml:space="preserve">ill repay them on the due date </w:t>
      </w:r>
      <w:r>
        <w:rPr>
          <w:rFonts w:ascii="Times New Roman" w:hAnsi="Times New Roman"/>
          <w:vanish/>
          <w:sz w:val="24"/>
          <w:szCs w:val="24"/>
        </w:rPr>
        <w:t>Bottom of Form</w:t>
      </w:r>
    </w:p>
    <w:p w:rsidR="00E1542D" w:rsidRDefault="00E1542D" w:rsidP="00E1542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 They rank after secured debentures.</w:t>
      </w:r>
    </w:p>
    <w:p w:rsidR="00E1542D" w:rsidRDefault="00E1542D" w:rsidP="00E1542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Redeemable</w:t>
      </w:r>
      <w:r>
        <w:rPr>
          <w:rFonts w:ascii="Times New Roman" w:hAnsi="Times New Roman"/>
          <w:sz w:val="24"/>
          <w:szCs w:val="24"/>
        </w:rPr>
        <w:t xml:space="preserve"> – the company can buy them at a given time or any time the company wishes to do so.</w:t>
      </w:r>
    </w:p>
    <w:p w:rsidR="00E1542D" w:rsidRDefault="00E1542D" w:rsidP="00E1542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Irredeemable</w:t>
      </w:r>
      <w:r>
        <w:rPr>
          <w:rFonts w:ascii="Times New Roman" w:hAnsi="Times New Roman"/>
          <w:sz w:val="24"/>
          <w:szCs w:val="24"/>
        </w:rPr>
        <w:t xml:space="preserve"> – they cannot be bought back by the business as long as it’s a going concern therefore they become a permanent source of funds.</w:t>
      </w:r>
    </w:p>
    <w:p w:rsidR="00E1542D" w:rsidRDefault="00E1542D" w:rsidP="00E1542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Convertible</w:t>
      </w:r>
      <w:r>
        <w:rPr>
          <w:rFonts w:ascii="Times New Roman" w:hAnsi="Times New Roman"/>
          <w:sz w:val="24"/>
          <w:szCs w:val="24"/>
        </w:rPr>
        <w:t xml:space="preserve"> – they can be converted into ordinary shares as per the agreement.</w:t>
      </w:r>
    </w:p>
    <w:p w:rsidR="00E1542D" w:rsidRDefault="00E1542D" w:rsidP="00E1542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Non convertible</w:t>
      </w:r>
      <w:proofErr w:type="spellEnd"/>
      <w:r>
        <w:rPr>
          <w:rFonts w:ascii="Times New Roman" w:hAnsi="Times New Roman"/>
          <w:sz w:val="24"/>
          <w:szCs w:val="24"/>
        </w:rPr>
        <w:t xml:space="preserve"> – cannot be converted into ordinary shares or any other security but are usually redeemable.</w:t>
      </w:r>
    </w:p>
    <w:p w:rsidR="00E1542D" w:rsidRDefault="00E1542D" w:rsidP="00E1542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Subordinate</w:t>
      </w:r>
      <w:r>
        <w:rPr>
          <w:rFonts w:ascii="Times New Roman" w:hAnsi="Times New Roman"/>
          <w:sz w:val="24"/>
          <w:szCs w:val="24"/>
        </w:rPr>
        <w:t xml:space="preserve"> – they are subordinate because they rank amongst other debentures and are non-secured. They are treated like ordinary /general creditors during liquidation but rank before share capital in claim. They are attractive therefore issued by financially sound companies.</w:t>
      </w:r>
    </w:p>
    <w:p w:rsidR="00E1542D" w:rsidRDefault="00E1542D" w:rsidP="00E1542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1542D" w:rsidRDefault="00E1542D" w:rsidP="00E1542D">
      <w:pPr>
        <w:spacing w:after="0" w:line="360" w:lineRule="auto"/>
        <w:rPr>
          <w:b/>
          <w:u w:val="single"/>
        </w:rPr>
      </w:pPr>
      <w:r w:rsidRPr="00E1542D">
        <w:rPr>
          <w:b/>
          <w:u w:val="single"/>
        </w:rPr>
        <w:t>S</w:t>
      </w:r>
      <w:r w:rsidRPr="00E1542D">
        <w:rPr>
          <w:b/>
          <w:u w:val="single"/>
        </w:rPr>
        <w:t>hort-term Sources of Funds</w:t>
      </w:r>
    </w:p>
    <w:p w:rsidR="00E1542D" w:rsidRPr="00E1542D" w:rsidRDefault="00E1542D" w:rsidP="00E1542D">
      <w:pPr>
        <w:pStyle w:val="ListParagraph"/>
        <w:numPr>
          <w:ilvl w:val="0"/>
          <w:numId w:val="8"/>
        </w:numPr>
        <w:spacing w:after="0" w:line="360" w:lineRule="auto"/>
        <w:rPr>
          <w:b w:val="0"/>
        </w:rPr>
      </w:pPr>
      <w:r w:rsidRPr="00E1542D">
        <w:rPr>
          <w:b w:val="0"/>
        </w:rPr>
        <w:lastRenderedPageBreak/>
        <w:t xml:space="preserve">Bills of Exchange- </w:t>
      </w:r>
      <w:r w:rsidRPr="00E1542D">
        <w:rPr>
          <w:b w:val="0"/>
          <w:spacing w:val="-2"/>
          <w:lang w:val="en-GB"/>
        </w:rPr>
        <w:t xml:space="preserve">Bills of Exchange are a source of finance in particular in the export trade. A </w:t>
      </w:r>
      <w:proofErr w:type="gramStart"/>
      <w:r w:rsidRPr="00E1542D">
        <w:rPr>
          <w:b w:val="0"/>
          <w:spacing w:val="-2"/>
          <w:lang w:val="en-GB"/>
        </w:rPr>
        <w:t>Bill of Exchange</w:t>
      </w:r>
      <w:proofErr w:type="gramEnd"/>
      <w:r w:rsidRPr="00E1542D">
        <w:rPr>
          <w:b w:val="0"/>
          <w:spacing w:val="-2"/>
          <w:lang w:val="en-GB"/>
        </w:rPr>
        <w:t xml:space="preserve"> is an unconditional order in writing addressed by one person to another requiring the person to whom it is addressed to pay to him as his order a specific sum of money</w:t>
      </w:r>
      <w:r>
        <w:rPr>
          <w:b w:val="0"/>
          <w:spacing w:val="-2"/>
          <w:lang w:val="en-GB"/>
        </w:rPr>
        <w:t>.</w:t>
      </w:r>
    </w:p>
    <w:p w:rsidR="00E1542D" w:rsidRPr="00E1542D" w:rsidRDefault="00E1542D" w:rsidP="00E1542D">
      <w:pPr>
        <w:pStyle w:val="ListParagraph"/>
        <w:numPr>
          <w:ilvl w:val="0"/>
          <w:numId w:val="8"/>
        </w:numPr>
        <w:tabs>
          <w:tab w:val="left" w:pos="-720"/>
          <w:tab w:val="left" w:pos="0"/>
          <w:tab w:val="left" w:pos="567"/>
          <w:tab w:val="left" w:pos="1134"/>
          <w:tab w:val="left" w:pos="1701"/>
          <w:tab w:val="left" w:pos="3402"/>
          <w:tab w:val="decimal" w:pos="4818"/>
          <w:tab w:val="left" w:pos="5112"/>
          <w:tab w:val="decimal" w:pos="5870"/>
        </w:tabs>
        <w:suppressAutoHyphens/>
        <w:spacing w:after="0" w:line="240" w:lineRule="auto"/>
        <w:rPr>
          <w:b w:val="0"/>
          <w:spacing w:val="-2"/>
          <w:lang w:val="en-GB"/>
        </w:rPr>
      </w:pPr>
      <w:r w:rsidRPr="00E1542D">
        <w:rPr>
          <w:b w:val="0"/>
        </w:rPr>
        <w:t xml:space="preserve">Overdraft Finance -  </w:t>
      </w:r>
      <w:r w:rsidRPr="00E1542D">
        <w:rPr>
          <w:b w:val="0"/>
          <w:spacing w:val="-2"/>
          <w:lang w:val="en-GB"/>
        </w:rPr>
        <w:t>This finance is ideal to use as bridging finance in sense that it should be used to solve the company's short term liquidity problems in particular those of financ</w:t>
      </w:r>
      <w:r>
        <w:rPr>
          <w:b w:val="0"/>
          <w:spacing w:val="-2"/>
          <w:lang w:val="en-GB"/>
        </w:rPr>
        <w:t>ing working capital (</w:t>
      </w:r>
      <w:proofErr w:type="spellStart"/>
      <w:r>
        <w:rPr>
          <w:b w:val="0"/>
          <w:spacing w:val="-2"/>
          <w:lang w:val="en-GB"/>
        </w:rPr>
        <w:t>w.c.</w:t>
      </w:r>
      <w:proofErr w:type="spellEnd"/>
      <w:r>
        <w:rPr>
          <w:b w:val="0"/>
          <w:spacing w:val="-2"/>
          <w:lang w:val="en-GB"/>
        </w:rPr>
        <w:t xml:space="preserve">). </w:t>
      </w:r>
      <w:r w:rsidRPr="00E1542D">
        <w:rPr>
          <w:b w:val="0"/>
          <w:spacing w:val="-2"/>
          <w:lang w:val="en-GB"/>
        </w:rPr>
        <w:t xml:space="preserve"> Overdraft finance is an expensive source of finance and the over-reliance on it is a sign of financial imprudence as it indicates the inability to plan or forecast financial needs.</w:t>
      </w:r>
    </w:p>
    <w:p w:rsidR="00E1542D" w:rsidRPr="00E1542D" w:rsidRDefault="00E1542D" w:rsidP="00DD50FD">
      <w:pPr>
        <w:pStyle w:val="ListParagraph"/>
        <w:spacing w:after="0" w:line="360" w:lineRule="auto"/>
        <w:ind w:left="1080"/>
        <w:rPr>
          <w:b w:val="0"/>
        </w:rPr>
      </w:pPr>
    </w:p>
    <w:p w:rsidR="00E1542D" w:rsidRDefault="00E1542D" w:rsidP="00E1542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D50FD" w:rsidRDefault="00DD50FD" w:rsidP="00DD50F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Debt Capital</w:t>
      </w:r>
    </w:p>
    <w:p w:rsidR="00DD50FD" w:rsidRDefault="00DD50FD" w:rsidP="00DD50F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Debt capital (Loan Finance) is a source of finance that it includes funds borrowed from external sources and usually attracts a fixed rate of return and is availed in limited quantities. </w:t>
      </w:r>
      <w:r>
        <w:rPr>
          <w:rFonts w:ascii="Times New Roman" w:hAnsi="Times New Roman"/>
          <w:sz w:val="24"/>
          <w:szCs w:val="24"/>
        </w:rPr>
        <w:t xml:space="preserve">Some of </w:t>
      </w:r>
      <w:r>
        <w:rPr>
          <w:rFonts w:ascii="Times New Roman" w:hAnsi="Times New Roman"/>
          <w:sz w:val="24"/>
          <w:szCs w:val="24"/>
        </w:rPr>
        <w:t>Its features include the following</w:t>
      </w:r>
      <w:r>
        <w:rPr>
          <w:rFonts w:ascii="Times New Roman" w:hAnsi="Times New Roman"/>
          <w:sz w:val="24"/>
          <w:szCs w:val="24"/>
        </w:rPr>
        <w:t>;</w:t>
      </w:r>
    </w:p>
    <w:p w:rsidR="00DD50FD" w:rsidRDefault="00DD50FD" w:rsidP="00DD50F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It earns interest at a fixed rate.</w:t>
      </w:r>
    </w:p>
    <w:p w:rsidR="00DD50FD" w:rsidRDefault="00DD50FD" w:rsidP="00DD50F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 Holders do not have voting rights.</w:t>
      </w:r>
    </w:p>
    <w:p w:rsidR="00DD50FD" w:rsidRDefault="00DD50FD" w:rsidP="00DD50F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 Redeemable at maturity.</w:t>
      </w:r>
    </w:p>
    <w:p w:rsidR="00DD50FD" w:rsidRDefault="00DD50FD" w:rsidP="00DD50F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 Are usually secured.</w:t>
      </w:r>
    </w:p>
    <w:p w:rsidR="00DD50FD" w:rsidRDefault="00DD50FD" w:rsidP="00DD50FD">
      <w:pPr>
        <w:tabs>
          <w:tab w:val="left" w:pos="-72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3"/>
          <w:tab w:val="left" w:pos="5669"/>
          <w:tab w:val="left" w:pos="6237"/>
          <w:tab w:val="left" w:pos="6803"/>
          <w:tab w:val="left" w:pos="7371"/>
          <w:tab w:val="left" w:pos="7937"/>
          <w:tab w:val="left" w:pos="8505"/>
          <w:tab w:val="left" w:pos="9071"/>
          <w:tab w:val="left" w:pos="9638"/>
          <w:tab w:val="left" w:pos="10205"/>
          <w:tab w:val="left" w:pos="10772"/>
          <w:tab w:val="left" w:pos="11339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sz w:val="24"/>
          <w:szCs w:val="24"/>
          <w:lang w:val="en-GB"/>
        </w:rPr>
      </w:pPr>
      <w:r>
        <w:rPr>
          <w:rFonts w:ascii="Times New Roman" w:hAnsi="Times New Roman"/>
          <w:spacing w:val="-2"/>
          <w:sz w:val="24"/>
          <w:szCs w:val="24"/>
          <w:lang w:val="en-GB"/>
        </w:rPr>
        <w:t>Debt finance is a fixed return finance as the cost (interest) is fixed on the par value (face value of debt). It is ideal to use if there's a strong equity base. It is raised from external sources to qualifying companies and is available in limited quantities. It is limited to:</w:t>
      </w:r>
    </w:p>
    <w:p w:rsidR="00DD50FD" w:rsidRDefault="00DD50FD" w:rsidP="00DD50FD">
      <w:pPr>
        <w:tabs>
          <w:tab w:val="left" w:pos="-72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3"/>
          <w:tab w:val="left" w:pos="5669"/>
          <w:tab w:val="left" w:pos="6237"/>
          <w:tab w:val="left" w:pos="6803"/>
          <w:tab w:val="left" w:pos="7371"/>
          <w:tab w:val="left" w:pos="7937"/>
          <w:tab w:val="left" w:pos="8505"/>
          <w:tab w:val="left" w:pos="9071"/>
          <w:tab w:val="left" w:pos="9638"/>
          <w:tab w:val="left" w:pos="10205"/>
          <w:tab w:val="left" w:pos="10772"/>
          <w:tab w:val="left" w:pos="11339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pacing w:val="-2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/>
          <w:spacing w:val="-2"/>
          <w:sz w:val="24"/>
          <w:szCs w:val="24"/>
          <w:lang w:val="en-GB"/>
        </w:rPr>
        <w:t>.</w:t>
      </w:r>
      <w:r>
        <w:rPr>
          <w:rFonts w:ascii="Times New Roman" w:hAnsi="Times New Roman"/>
          <w:spacing w:val="-2"/>
          <w:sz w:val="24"/>
          <w:szCs w:val="24"/>
          <w:lang w:val="en-GB"/>
        </w:rPr>
        <w:tab/>
        <w:t>Value of security.</w:t>
      </w:r>
    </w:p>
    <w:p w:rsidR="00DD50FD" w:rsidRDefault="00DD50FD" w:rsidP="00DD50FD">
      <w:pPr>
        <w:tabs>
          <w:tab w:val="left" w:pos="-72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3"/>
          <w:tab w:val="left" w:pos="5669"/>
          <w:tab w:val="left" w:pos="6237"/>
          <w:tab w:val="left" w:pos="6803"/>
          <w:tab w:val="left" w:pos="7371"/>
          <w:tab w:val="left" w:pos="7937"/>
          <w:tab w:val="left" w:pos="8505"/>
          <w:tab w:val="left" w:pos="9071"/>
          <w:tab w:val="left" w:pos="9638"/>
          <w:tab w:val="left" w:pos="10205"/>
          <w:tab w:val="left" w:pos="10772"/>
          <w:tab w:val="left" w:pos="11339"/>
        </w:tabs>
        <w:suppressAutoHyphens/>
        <w:spacing w:after="0" w:line="240" w:lineRule="auto"/>
        <w:jc w:val="both"/>
        <w:rPr>
          <w:rFonts w:ascii="Times New Roman" w:hAnsi="Times New Roman"/>
          <w:spacing w:val="-2"/>
          <w:sz w:val="24"/>
          <w:szCs w:val="24"/>
          <w:lang w:val="en-GB"/>
        </w:rPr>
      </w:pPr>
    </w:p>
    <w:p w:rsidR="00DD50FD" w:rsidRDefault="00DD50FD" w:rsidP="00DD50FD">
      <w:pPr>
        <w:tabs>
          <w:tab w:val="left" w:pos="-72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3"/>
          <w:tab w:val="left" w:pos="5669"/>
          <w:tab w:val="left" w:pos="6237"/>
          <w:tab w:val="left" w:pos="6803"/>
          <w:tab w:val="left" w:pos="7371"/>
          <w:tab w:val="left" w:pos="7937"/>
          <w:tab w:val="left" w:pos="8505"/>
          <w:tab w:val="left" w:pos="9071"/>
          <w:tab w:val="left" w:pos="9638"/>
          <w:tab w:val="left" w:pos="10205"/>
          <w:tab w:val="left" w:pos="10772"/>
          <w:tab w:val="left" w:pos="11339"/>
        </w:tabs>
        <w:suppressAutoHyphens/>
        <w:spacing w:after="0" w:line="240" w:lineRule="auto"/>
        <w:ind w:left="566" w:hanging="566"/>
        <w:jc w:val="both"/>
        <w:rPr>
          <w:rFonts w:ascii="Times New Roman" w:hAnsi="Times New Roman"/>
          <w:spacing w:val="-2"/>
          <w:sz w:val="24"/>
          <w:szCs w:val="24"/>
          <w:lang w:val="en-GB"/>
        </w:rPr>
      </w:pPr>
      <w:r>
        <w:rPr>
          <w:rFonts w:ascii="Times New Roman" w:hAnsi="Times New Roman"/>
          <w:spacing w:val="-2"/>
          <w:sz w:val="24"/>
          <w:szCs w:val="24"/>
          <w:lang w:val="en-GB"/>
        </w:rPr>
        <w:t>ii.</w:t>
      </w:r>
      <w:r>
        <w:rPr>
          <w:rFonts w:ascii="Times New Roman" w:hAnsi="Times New Roman"/>
          <w:spacing w:val="-2"/>
          <w:sz w:val="24"/>
          <w:szCs w:val="24"/>
          <w:lang w:val="en-GB"/>
        </w:rPr>
        <w:tab/>
        <w:t>Liquidity situation in a given country. It is ideal for companies where gearing allows them to raise more debt and thus gearing level.</w:t>
      </w:r>
    </w:p>
    <w:p w:rsidR="00DD50FD" w:rsidRDefault="00DD50FD" w:rsidP="00DD50FD">
      <w:pPr>
        <w:spacing w:after="0" w:line="36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DD50FD" w:rsidRDefault="00DD50FD" w:rsidP="00DD50F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1542D" w:rsidRPr="00DD50FD" w:rsidRDefault="00E1542D" w:rsidP="00DD50FD">
      <w:pPr>
        <w:spacing w:after="0" w:line="360" w:lineRule="auto"/>
      </w:pPr>
    </w:p>
    <w:p w:rsidR="00E43016" w:rsidRDefault="00E43016"/>
    <w:sectPr w:rsidR="00E43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36430"/>
    <w:multiLevelType w:val="hybridMultilevel"/>
    <w:tmpl w:val="B6EE79B4"/>
    <w:lvl w:ilvl="0" w:tplc="DF3244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60695"/>
    <w:multiLevelType w:val="hybridMultilevel"/>
    <w:tmpl w:val="40A219C0"/>
    <w:lvl w:ilvl="0" w:tplc="5C824E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83432"/>
    <w:multiLevelType w:val="multilevel"/>
    <w:tmpl w:val="265834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10E97"/>
    <w:multiLevelType w:val="multilevel"/>
    <w:tmpl w:val="27010E9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C0D71"/>
    <w:multiLevelType w:val="multilevel"/>
    <w:tmpl w:val="3F16789F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6789F"/>
    <w:multiLevelType w:val="multilevel"/>
    <w:tmpl w:val="3F16789F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719F7"/>
    <w:multiLevelType w:val="multilevel"/>
    <w:tmpl w:val="591719F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93304"/>
    <w:multiLevelType w:val="multilevel"/>
    <w:tmpl w:val="6B893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16"/>
    <w:rsid w:val="00861510"/>
    <w:rsid w:val="00DD50FD"/>
    <w:rsid w:val="00E1542D"/>
    <w:rsid w:val="00E4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090C"/>
  <w15:chartTrackingRefBased/>
  <w15:docId w15:val="{9BDFF396-6D4A-4DB8-9E37-028DD5C8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016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016"/>
    <w:pPr>
      <w:autoSpaceDE w:val="0"/>
      <w:autoSpaceDN w:val="0"/>
      <w:adjustRightInd w:val="0"/>
      <w:spacing w:after="120" w:line="480" w:lineRule="auto"/>
      <w:contextualSpacing/>
      <w:jc w:val="both"/>
      <w:outlineLvl w:val="1"/>
    </w:pPr>
    <w:rPr>
      <w:rFonts w:ascii="Times New Roman" w:eastAsia="Calibri" w:hAnsi="Times New Roman" w:cs="Times New Roman"/>
      <w:b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2023-04-06T04:45:00Z</dcterms:created>
  <dcterms:modified xsi:type="dcterms:W3CDTF">2023-04-06T05:14:00Z</dcterms:modified>
</cp:coreProperties>
</file>