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rFonts w:ascii="Arial" w:hAnsi="Arial" w:eastAsia="Arial" w:cs="Arial"/>
          <w:b/>
          <w:sz w:val="34"/>
        </w:rPr>
        <w:t>Timekeeper Work: how we protect personal data</w:t>
      </w:r>
    </w:p>
    <w:p>
      <w:pPr>
        <w:spacing w:after="80" w:before="0"/>
      </w:pPr>
      <w:r>
        <w:rPr>
          <w:rFonts w:ascii="Arial" w:hAnsi="Arial" w:eastAsia="Arial" w:cs="Arial"/>
          <w:b w:val="0"/>
          <w:color w:val="555555"/>
          <w:sz w:val="17"/>
        </w:rPr>
        <w:t>One-page summary for legal review · DRAFT · version dp-v1-draft · [date] · Operator: [name, registration no.]</w:t>
      </w:r>
    </w:p>
    <w:p>
      <w:pPr>
        <w:spacing w:after="20" w:before="0"/>
      </w:pPr>
      <w:r>
        <w:rPr>
          <w:rFonts w:ascii="Arial" w:hAnsi="Arial" w:eastAsia="Arial" w:cs="Arial"/>
          <w:b/>
          <w:sz w:val="23"/>
        </w:rPr>
        <w:t>What we hold and why</w:t>
      </w:r>
    </w:p>
    <w:p>
      <w:pPr>
        <w:spacing w:after="100" w:before="0"/>
      </w:pPr>
      <w:r>
        <w:rPr>
          <w:rFonts w:ascii="Arial" w:hAnsi="Arial" w:eastAsia="Arial" w:cs="Arial"/>
          <w:b w:val="0"/>
          <w:sz w:val="20"/>
        </w:rPr>
        <w:t>Attendance only: arrival and departure events at the workplace with the phone position at that moment, plus employee name, code, department and job title. No movement trail, no use other than attendance. Employees consent in writing; they see everything recorded about them in the app. Hosting: [provider], region [___], i.e. outside Mongolia (to be confirmed by counsel).</w:t>
      </w:r>
    </w:p>
    <w:p>
      <w:pPr>
        <w:spacing w:after="40" w:before="0"/>
      </w:pPr>
      <w:r>
        <w:rPr>
          <w:rFonts w:ascii="Arial" w:hAnsi="Arial" w:eastAsia="Arial" w:cs="Arial"/>
          <w:b/>
          <w:sz w:val="23"/>
        </w:rPr>
        <w:t>Protection measures and their status</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1"/>
        <w:gridCol w:w="6236"/>
        <w:gridCol w:w="1984"/>
      </w:tblGrid>
      <w:tr>
        <w:tc>
          <w:tcPr>
            <w:tcW w:type="dxa" w:w="1871"/>
            <w:shd w:val="clear" w:fill="E7E6E6"/>
          </w:tcPr>
          <w:p>
            <w:pPr>
              <w:spacing w:after="0"/>
            </w:pPr>
            <w:r/>
            <w:r>
              <w:rPr>
                <w:rFonts w:ascii="Arial" w:hAnsi="Arial" w:eastAsia="Arial" w:cs="Arial"/>
                <w:b/>
                <w:sz w:val="18"/>
              </w:rPr>
              <w:t>Area</w:t>
            </w:r>
          </w:p>
        </w:tc>
        <w:tc>
          <w:tcPr>
            <w:tcW w:type="dxa" w:w="6236"/>
            <w:shd w:val="clear" w:fill="E7E6E6"/>
          </w:tcPr>
          <w:p>
            <w:pPr>
              <w:spacing w:after="0"/>
            </w:pPr>
            <w:r/>
            <w:r>
              <w:rPr>
                <w:rFonts w:ascii="Arial" w:hAnsi="Arial" w:eastAsia="Arial" w:cs="Arial"/>
                <w:b/>
                <w:sz w:val="18"/>
              </w:rPr>
              <w:t>Measure</w:t>
            </w:r>
          </w:p>
        </w:tc>
        <w:tc>
          <w:tcPr>
            <w:tcW w:type="dxa" w:w="1984"/>
            <w:shd w:val="clear" w:fill="E7E6E6"/>
          </w:tcPr>
          <w:p>
            <w:pPr>
              <w:spacing w:after="0"/>
            </w:pPr>
            <w:r/>
            <w:r>
              <w:rPr>
                <w:rFonts w:ascii="Arial" w:hAnsi="Arial" w:eastAsia="Arial" w:cs="Arial"/>
                <w:b/>
                <w:sz w:val="18"/>
              </w:rPr>
              <w:t>Status</w:t>
            </w:r>
          </w:p>
        </w:tc>
      </w:tr>
      <w:tr>
        <w:tc>
          <w:tcPr>
            <w:tcW w:type="dxa" w:w="1871"/>
          </w:tcPr>
          <w:p>
            <w:pPr>
              <w:spacing w:after="0"/>
            </w:pPr>
            <w:r/>
            <w:r>
              <w:rPr>
                <w:rFonts w:ascii="Arial" w:hAnsi="Arial" w:eastAsia="Arial" w:cs="Arial"/>
                <w:b/>
                <w:sz w:val="18"/>
              </w:rPr>
              <w:t>Minimisation</w:t>
            </w:r>
          </w:p>
        </w:tc>
        <w:tc>
          <w:tcPr>
            <w:tcW w:type="dxa" w:w="6236"/>
          </w:tcPr>
          <w:p>
            <w:pPr>
              <w:spacing w:after="0"/>
            </w:pPr>
            <w:r/>
            <w:r>
              <w:rPr>
                <w:rFonts w:ascii="Arial" w:hAnsi="Arial" w:eastAsia="Arial" w:cs="Arial"/>
                <w:b w:val="0"/>
                <w:sz w:val="18"/>
              </w:rPr>
              <w:t>Only events leave the phone; exact coordinates are erased after 30 days; no trail is kept.</w:t>
            </w:r>
          </w:p>
        </w:tc>
        <w:tc>
          <w:tcPr>
            <w:tcW w:type="dxa" w:w="1984"/>
            <w:shd w:val="clear" w:fill="D9EAD3"/>
          </w:tcPr>
          <w:p>
            <w:pPr>
              <w:spacing w:after="0"/>
            </w:pPr>
            <w:r/>
            <w:r>
              <w:rPr>
                <w:rFonts w:ascii="Arial" w:hAnsi="Arial" w:eastAsia="Arial" w:cs="Arial"/>
                <w:b w:val="0"/>
                <w:sz w:val="18"/>
              </w:rPr>
              <w:t>In place</w:t>
            </w:r>
          </w:p>
        </w:tc>
      </w:tr>
      <w:tr>
        <w:tc>
          <w:tcPr>
            <w:tcW w:type="dxa" w:w="1871"/>
          </w:tcPr>
          <w:p>
            <w:pPr>
              <w:spacing w:after="0"/>
            </w:pPr>
            <w:r/>
            <w:r>
              <w:rPr>
                <w:rFonts w:ascii="Arial" w:hAnsi="Arial" w:eastAsia="Arial" w:cs="Arial"/>
                <w:b/>
                <w:sz w:val="18"/>
              </w:rPr>
              <w:t>Retention</w:t>
            </w:r>
          </w:p>
        </w:tc>
        <w:tc>
          <w:tcPr>
            <w:tcW w:type="dxa" w:w="6236"/>
          </w:tcPr>
          <w:p>
            <w:pPr>
              <w:spacing w:after="0"/>
            </w:pPr>
            <w:r/>
            <w:r>
              <w:rPr>
                <w:rFonts w:ascii="Arial" w:hAnsi="Arial" w:eastAsia="Arial" w:cs="Arial"/>
                <w:b w:val="0"/>
                <w:sz w:val="18"/>
              </w:rPr>
              <w:t>Attendance data deleted after 2 years, audit log after 24 months, by a daily automatic job. HR can irreversibly anonymise a former employee on request.</w:t>
            </w:r>
          </w:p>
        </w:tc>
        <w:tc>
          <w:tcPr>
            <w:tcW w:type="dxa" w:w="1984"/>
            <w:shd w:val="clear" w:fill="D9EAD3"/>
          </w:tcPr>
          <w:p>
            <w:pPr>
              <w:spacing w:after="0"/>
            </w:pPr>
            <w:r/>
            <w:r>
              <w:rPr>
                <w:rFonts w:ascii="Arial" w:hAnsi="Arial" w:eastAsia="Arial" w:cs="Arial"/>
                <w:b w:val="0"/>
                <w:sz w:val="18"/>
              </w:rPr>
              <w:t>In place</w:t>
            </w:r>
          </w:p>
        </w:tc>
      </w:tr>
      <w:tr>
        <w:tc>
          <w:tcPr>
            <w:tcW w:type="dxa" w:w="1871"/>
          </w:tcPr>
          <w:p>
            <w:pPr>
              <w:spacing w:after="0"/>
            </w:pPr>
            <w:r/>
            <w:r>
              <w:rPr>
                <w:rFonts w:ascii="Arial" w:hAnsi="Arial" w:eastAsia="Arial" w:cs="Arial"/>
                <w:b/>
                <w:sz w:val="18"/>
              </w:rPr>
              <w:t>Encryption</w:t>
            </w:r>
          </w:p>
        </w:tc>
        <w:tc>
          <w:tcPr>
            <w:tcW w:type="dxa" w:w="6236"/>
          </w:tcPr>
          <w:p>
            <w:pPr>
              <w:spacing w:after="0"/>
            </w:pPr>
            <w:r/>
            <w:r>
              <w:rPr>
                <w:rFonts w:ascii="Arial" w:hAnsi="Arial" w:eastAsia="Arial" w:cs="Arial"/>
                <w:b w:val="0"/>
                <w:sz w:val="18"/>
              </w:rPr>
              <w:t>HTTPS for all traffic. Backups encrypted with a key kept off the server.</w:t>
            </w:r>
          </w:p>
        </w:tc>
        <w:tc>
          <w:tcPr>
            <w:tcW w:type="dxa" w:w="1984"/>
            <w:shd w:val="clear" w:fill="D9EAD3"/>
          </w:tcPr>
          <w:p>
            <w:pPr>
              <w:spacing w:after="0"/>
            </w:pPr>
            <w:r/>
            <w:r>
              <w:rPr>
                <w:rFonts w:ascii="Arial" w:hAnsi="Arial" w:eastAsia="Arial" w:cs="Arial"/>
                <w:b w:val="0"/>
                <w:sz w:val="18"/>
              </w:rPr>
              <w:t>In place</w:t>
            </w:r>
          </w:p>
        </w:tc>
      </w:tr>
      <w:tr>
        <w:tc>
          <w:tcPr>
            <w:tcW w:type="dxa" w:w="1871"/>
          </w:tcPr>
          <w:p>
            <w:pPr>
              <w:spacing w:after="0"/>
            </w:pPr>
            <w:r/>
            <w:r>
              <w:rPr>
                <w:rFonts w:ascii="Arial" w:hAnsi="Arial" w:eastAsia="Arial" w:cs="Arial"/>
                <w:b/>
                <w:sz w:val="18"/>
              </w:rPr>
              <w:t>Encryption at rest</w:t>
            </w:r>
          </w:p>
        </w:tc>
        <w:tc>
          <w:tcPr>
            <w:tcW w:type="dxa" w:w="6236"/>
          </w:tcPr>
          <w:p>
            <w:pPr>
              <w:spacing w:after="0"/>
            </w:pPr>
            <w:r/>
            <w:r>
              <w:rPr>
                <w:rFonts w:ascii="Arial" w:hAnsi="Arial" w:eastAsia="Arial" w:cs="Arial"/>
                <w:b w:val="0"/>
                <w:sz w:val="18"/>
              </w:rPr>
              <w:t>Encryption of the live database disk at the hosting provider.</w:t>
            </w:r>
          </w:p>
        </w:tc>
        <w:tc>
          <w:tcPr>
            <w:tcW w:type="dxa" w:w="1984"/>
            <w:shd w:val="clear" w:fill="FFF2CC"/>
          </w:tcPr>
          <w:p>
            <w:pPr>
              <w:spacing w:after="0"/>
            </w:pPr>
            <w:r/>
            <w:r>
              <w:rPr>
                <w:rFonts w:ascii="Arial" w:hAnsi="Arial" w:eastAsia="Arial" w:cs="Arial"/>
                <w:b w:val="0"/>
                <w:sz w:val="18"/>
              </w:rPr>
              <w:t>To be confirmed</w:t>
            </w:r>
          </w:p>
        </w:tc>
      </w:tr>
      <w:tr>
        <w:tc>
          <w:tcPr>
            <w:tcW w:type="dxa" w:w="1871"/>
          </w:tcPr>
          <w:p>
            <w:pPr>
              <w:spacing w:after="0"/>
            </w:pPr>
            <w:r/>
            <w:r>
              <w:rPr>
                <w:rFonts w:ascii="Arial" w:hAnsi="Arial" w:eastAsia="Arial" w:cs="Arial"/>
                <w:b/>
                <w:sz w:val="18"/>
              </w:rPr>
              <w:t>Separation</w:t>
            </w:r>
          </w:p>
        </w:tc>
        <w:tc>
          <w:tcPr>
            <w:tcW w:type="dxa" w:w="6236"/>
          </w:tcPr>
          <w:p>
            <w:pPr>
              <w:spacing w:after="0"/>
            </w:pPr>
            <w:r/>
            <w:r>
              <w:rPr>
                <w:rFonts w:ascii="Arial" w:hAnsi="Arial" w:eastAsia="Arial" w:cs="Arial"/>
                <w:b w:val="0"/>
                <w:sz w:val="18"/>
              </w:rPr>
              <w:t>Each organisation is isolated inside the database (row-level security), so one cannot read another’s rows even after a code mistake.</w:t>
            </w:r>
          </w:p>
        </w:tc>
        <w:tc>
          <w:tcPr>
            <w:tcW w:type="dxa" w:w="1984"/>
            <w:shd w:val="clear" w:fill="D9EAD3"/>
          </w:tcPr>
          <w:p>
            <w:pPr>
              <w:spacing w:after="0"/>
            </w:pPr>
            <w:r/>
            <w:r>
              <w:rPr>
                <w:rFonts w:ascii="Arial" w:hAnsi="Arial" w:eastAsia="Arial" w:cs="Arial"/>
                <w:b w:val="0"/>
                <w:sz w:val="18"/>
              </w:rPr>
              <w:t>In place</w:t>
            </w:r>
          </w:p>
        </w:tc>
      </w:tr>
      <w:tr>
        <w:tc>
          <w:tcPr>
            <w:tcW w:type="dxa" w:w="1871"/>
          </w:tcPr>
          <w:p>
            <w:pPr>
              <w:spacing w:after="0"/>
            </w:pPr>
            <w:r/>
            <w:r>
              <w:rPr>
                <w:rFonts w:ascii="Arial" w:hAnsi="Arial" w:eastAsia="Arial" w:cs="Arial"/>
                <w:b/>
                <w:sz w:val="18"/>
              </w:rPr>
              <w:t>Access control</w:t>
            </w:r>
          </w:p>
        </w:tc>
        <w:tc>
          <w:tcPr>
            <w:tcW w:type="dxa" w:w="6236"/>
          </w:tcPr>
          <w:p>
            <w:pPr>
              <w:spacing w:after="0"/>
            </w:pPr>
            <w:r/>
            <w:r>
              <w:rPr>
                <w:rFonts w:ascii="Arial" w:hAnsi="Arial" w:eastAsia="Arial" w:cs="Arial"/>
                <w:b w:val="0"/>
                <w:sz w:val="18"/>
              </w:rPr>
              <w:t>Roles; managers see only their own branch or department; admins and HR use two-step sign-in; sessions expire; a phone account is tied to one registered phone.</w:t>
            </w:r>
          </w:p>
        </w:tc>
        <w:tc>
          <w:tcPr>
            <w:tcW w:type="dxa" w:w="1984"/>
            <w:shd w:val="clear" w:fill="D9EAD3"/>
          </w:tcPr>
          <w:p>
            <w:pPr>
              <w:spacing w:after="0"/>
            </w:pPr>
            <w:r/>
            <w:r>
              <w:rPr>
                <w:rFonts w:ascii="Arial" w:hAnsi="Arial" w:eastAsia="Arial" w:cs="Arial"/>
                <w:b w:val="0"/>
                <w:sz w:val="18"/>
              </w:rPr>
              <w:t>In place</w:t>
            </w:r>
          </w:p>
        </w:tc>
      </w:tr>
      <w:tr>
        <w:tc>
          <w:tcPr>
            <w:tcW w:type="dxa" w:w="1871"/>
          </w:tcPr>
          <w:p>
            <w:pPr>
              <w:spacing w:after="0"/>
            </w:pPr>
            <w:r/>
            <w:r>
              <w:rPr>
                <w:rFonts w:ascii="Arial" w:hAnsi="Arial" w:eastAsia="Arial" w:cs="Arial"/>
                <w:b/>
                <w:sz w:val="18"/>
              </w:rPr>
              <w:t>Audit</w:t>
            </w:r>
          </w:p>
        </w:tc>
        <w:tc>
          <w:tcPr>
            <w:tcW w:type="dxa" w:w="6236"/>
          </w:tcPr>
          <w:p>
            <w:pPr>
              <w:spacing w:after="0"/>
            </w:pPr>
            <w:r/>
            <w:r>
              <w:rPr>
                <w:rFonts w:ascii="Arial" w:hAnsi="Arial" w:eastAsia="Arial" w:cs="Arial"/>
                <w:b w:val="0"/>
                <w:sz w:val="18"/>
              </w:rPr>
              <w:t>Append-only log of who viewed or changed data; every export is logged.</w:t>
            </w:r>
          </w:p>
        </w:tc>
        <w:tc>
          <w:tcPr>
            <w:tcW w:type="dxa" w:w="1984"/>
            <w:shd w:val="clear" w:fill="D9EAD3"/>
          </w:tcPr>
          <w:p>
            <w:pPr>
              <w:spacing w:after="0"/>
            </w:pPr>
            <w:r/>
            <w:r>
              <w:rPr>
                <w:rFonts w:ascii="Arial" w:hAnsi="Arial" w:eastAsia="Arial" w:cs="Arial"/>
                <w:b w:val="0"/>
                <w:sz w:val="18"/>
              </w:rPr>
              <w:t>In place</w:t>
            </w:r>
          </w:p>
        </w:tc>
      </w:tr>
      <w:tr>
        <w:tc>
          <w:tcPr>
            <w:tcW w:type="dxa" w:w="1871"/>
          </w:tcPr>
          <w:p>
            <w:pPr>
              <w:spacing w:after="0"/>
            </w:pPr>
            <w:r/>
            <w:r>
              <w:rPr>
                <w:rFonts w:ascii="Arial" w:hAnsi="Arial" w:eastAsia="Arial" w:cs="Arial"/>
                <w:b/>
                <w:sz w:val="18"/>
              </w:rPr>
              <w:t>Abuse protection</w:t>
            </w:r>
          </w:p>
        </w:tc>
        <w:tc>
          <w:tcPr>
            <w:tcW w:type="dxa" w:w="6236"/>
          </w:tcPr>
          <w:p>
            <w:pPr>
              <w:spacing w:after="0"/>
            </w:pPr>
            <w:r/>
            <w:r>
              <w:rPr>
                <w:rFonts w:ascii="Arial" w:hAnsi="Arial" w:eastAsia="Arial" w:cs="Arial"/>
                <w:b w:val="0"/>
                <w:sz w:val="18"/>
              </w:rPr>
              <w:t>Rate limiting, account lockout, detection of impossible movement and duplicate devices. Cloudflare WAF in front of the server (needs the final domain).</w:t>
            </w:r>
          </w:p>
        </w:tc>
        <w:tc>
          <w:tcPr>
            <w:tcW w:type="dxa" w:w="1984"/>
            <w:shd w:val="clear" w:fill="FFF2CC"/>
          </w:tcPr>
          <w:p>
            <w:pPr>
              <w:spacing w:after="0"/>
            </w:pPr>
            <w:r/>
            <w:r>
              <w:rPr>
                <w:rFonts w:ascii="Arial" w:hAnsi="Arial" w:eastAsia="Arial" w:cs="Arial"/>
                <w:b w:val="0"/>
                <w:sz w:val="18"/>
              </w:rPr>
              <w:t>In place / Prepared, to be switched on</w:t>
            </w:r>
          </w:p>
        </w:tc>
      </w:tr>
      <w:tr>
        <w:tc>
          <w:tcPr>
            <w:tcW w:type="dxa" w:w="1871"/>
          </w:tcPr>
          <w:p>
            <w:pPr>
              <w:spacing w:after="0"/>
            </w:pPr>
            <w:r/>
            <w:r>
              <w:rPr>
                <w:rFonts w:ascii="Arial" w:hAnsi="Arial" w:eastAsia="Arial" w:cs="Arial"/>
                <w:b/>
                <w:sz w:val="18"/>
              </w:rPr>
              <w:t>Server safety</w:t>
            </w:r>
          </w:p>
        </w:tc>
        <w:tc>
          <w:tcPr>
            <w:tcW w:type="dxa" w:w="6236"/>
          </w:tcPr>
          <w:p>
            <w:pPr>
              <w:spacing w:after="0"/>
            </w:pPr>
            <w:r/>
            <w:r>
              <w:rPr>
                <w:rFonts w:ascii="Arial" w:hAnsi="Arial" w:eastAsia="Arial" w:cs="Arial"/>
                <w:b w:val="0"/>
                <w:sz w:val="18"/>
              </w:rPr>
              <w:t>Firewall, 5-minute health alerts to the operator, written incident plan.</w:t>
            </w:r>
          </w:p>
        </w:tc>
        <w:tc>
          <w:tcPr>
            <w:tcW w:type="dxa" w:w="1984"/>
            <w:shd w:val="clear" w:fill="FFF2CC"/>
          </w:tcPr>
          <w:p>
            <w:pPr>
              <w:spacing w:after="0"/>
            </w:pPr>
            <w:r/>
            <w:r>
              <w:rPr>
                <w:rFonts w:ascii="Arial" w:hAnsi="Arial" w:eastAsia="Arial" w:cs="Arial"/>
                <w:b w:val="0"/>
                <w:sz w:val="18"/>
              </w:rPr>
              <w:t>Prepared, to be switched on</w:t>
            </w:r>
          </w:p>
        </w:tc>
      </w:tr>
      <w:tr>
        <w:tc>
          <w:tcPr>
            <w:tcW w:type="dxa" w:w="1871"/>
          </w:tcPr>
          <w:p>
            <w:pPr>
              <w:spacing w:after="0"/>
            </w:pPr>
            <w:r/>
            <w:r>
              <w:rPr>
                <w:rFonts w:ascii="Arial" w:hAnsi="Arial" w:eastAsia="Arial" w:cs="Arial"/>
                <w:b/>
                <w:sz w:val="18"/>
              </w:rPr>
              <w:t>Backup and recovery</w:t>
            </w:r>
          </w:p>
        </w:tc>
        <w:tc>
          <w:tcPr>
            <w:tcW w:type="dxa" w:w="6236"/>
          </w:tcPr>
          <w:p>
            <w:pPr>
              <w:spacing w:after="0"/>
            </w:pPr>
            <w:r/>
            <w:r>
              <w:rPr>
                <w:rFonts w:ascii="Arial" w:hAnsi="Arial" w:eastAsia="Arial" w:cs="Arial"/>
                <w:b w:val="0"/>
                <w:sz w:val="18"/>
              </w:rPr>
              <w:t>Nightly encrypted backups (last 14 kept), restore procedure tested. Up to 24 h of data could be lost; point-in-time recovery to follow.</w:t>
            </w:r>
          </w:p>
        </w:tc>
        <w:tc>
          <w:tcPr>
            <w:tcW w:type="dxa" w:w="1984"/>
            <w:shd w:val="clear" w:fill="FCE5CD"/>
          </w:tcPr>
          <w:p>
            <w:pPr>
              <w:spacing w:after="0"/>
            </w:pPr>
            <w:r/>
            <w:r>
              <w:rPr>
                <w:rFonts w:ascii="Arial" w:hAnsi="Arial" w:eastAsia="Arial" w:cs="Arial"/>
                <w:b w:val="0"/>
                <w:sz w:val="18"/>
              </w:rPr>
              <w:t>Prepared, to be switched on / Planned before production</w:t>
            </w:r>
          </w:p>
        </w:tc>
      </w:tr>
      <w:tr>
        <w:tc>
          <w:tcPr>
            <w:tcW w:type="dxa" w:w="1871"/>
          </w:tcPr>
          <w:p>
            <w:pPr>
              <w:spacing w:after="0"/>
            </w:pPr>
            <w:r/>
            <w:r>
              <w:rPr>
                <w:rFonts w:ascii="Arial" w:hAnsi="Arial" w:eastAsia="Arial" w:cs="Arial"/>
                <w:b/>
                <w:sz w:val="18"/>
              </w:rPr>
              <w:t>Device integrity</w:t>
            </w:r>
          </w:p>
        </w:tc>
        <w:tc>
          <w:tcPr>
            <w:tcW w:type="dxa" w:w="6236"/>
          </w:tcPr>
          <w:p>
            <w:pPr>
              <w:spacing w:after="0"/>
            </w:pPr>
            <w:r/>
            <w:r>
              <w:rPr>
                <w:rFonts w:ascii="Arial" w:hAnsi="Arial" w:eastAsia="Arial" w:cs="Arial"/>
                <w:b w:val="0"/>
                <w:sz w:val="18"/>
              </w:rPr>
              <w:t>Check that the app runs on a genuine, unmodified phone (Google Play Integrity).</w:t>
            </w:r>
          </w:p>
        </w:tc>
        <w:tc>
          <w:tcPr>
            <w:tcW w:type="dxa" w:w="1984"/>
            <w:shd w:val="clear" w:fill="FCE5CD"/>
          </w:tcPr>
          <w:p>
            <w:pPr>
              <w:spacing w:after="0"/>
            </w:pPr>
            <w:r/>
            <w:r>
              <w:rPr>
                <w:rFonts w:ascii="Arial" w:hAnsi="Arial" w:eastAsia="Arial" w:cs="Arial"/>
                <w:b w:val="0"/>
                <w:sz w:val="18"/>
              </w:rPr>
              <w:t>Planned before production</w:t>
            </w:r>
          </w:p>
        </w:tc>
      </w:tr>
      <w:tr>
        <w:tc>
          <w:tcPr>
            <w:tcW w:type="dxa" w:w="1871"/>
          </w:tcPr>
          <w:p>
            <w:pPr>
              <w:spacing w:after="0"/>
            </w:pPr>
            <w:r/>
            <w:r>
              <w:rPr>
                <w:rFonts w:ascii="Arial" w:hAnsi="Arial" w:eastAsia="Arial" w:cs="Arial"/>
                <w:b/>
                <w:sz w:val="18"/>
              </w:rPr>
              <w:t>Independent test</w:t>
            </w:r>
          </w:p>
        </w:tc>
        <w:tc>
          <w:tcPr>
            <w:tcW w:type="dxa" w:w="6236"/>
          </w:tcPr>
          <w:p>
            <w:pPr>
              <w:spacing w:after="0"/>
            </w:pPr>
            <w:r/>
            <w:r>
              <w:rPr>
                <w:rFonts w:ascii="Arial" w:hAnsi="Arial" w:eastAsia="Arial" w:cs="Arial"/>
                <w:b w:val="0"/>
                <w:sz w:val="18"/>
              </w:rPr>
              <w:t>External security test and review before wide roll-out.</w:t>
            </w:r>
          </w:p>
        </w:tc>
        <w:tc>
          <w:tcPr>
            <w:tcW w:type="dxa" w:w="1984"/>
            <w:shd w:val="clear" w:fill="FCE5CD"/>
          </w:tcPr>
          <w:p>
            <w:pPr>
              <w:spacing w:after="0"/>
            </w:pPr>
            <w:r/>
            <w:r>
              <w:rPr>
                <w:rFonts w:ascii="Arial" w:hAnsi="Arial" w:eastAsia="Arial" w:cs="Arial"/>
                <w:b w:val="0"/>
                <w:sz w:val="18"/>
              </w:rPr>
              <w:t>Planned before production</w:t>
            </w:r>
          </w:p>
        </w:tc>
      </w:tr>
    </w:tbl>
    <w:p>
      <w:pPr>
        <w:spacing w:after="20" w:before="100"/>
      </w:pPr>
      <w:r>
        <w:rPr>
          <w:rFonts w:ascii="Arial" w:hAnsi="Arial" w:eastAsia="Arial" w:cs="Arial"/>
          <w:b/>
          <w:sz w:val="23"/>
        </w:rPr>
        <w:t>Questions for counsel</w:t>
      </w:r>
    </w:p>
    <w:p>
      <w:pPr>
        <w:spacing w:after="40" w:before="0"/>
        <w:ind w:left="227" w:hanging="227"/>
      </w:pPr>
      <w:r>
        <w:rPr>
          <w:rFonts w:ascii="Arial" w:hAnsi="Arial" w:eastAsia="Arial" w:cs="Arial"/>
          <w:b w:val="0"/>
          <w:sz w:val="20"/>
        </w:rPr>
        <w:t>1. Is signed voluntary consent within an employment relationship a sufficient legal basis, or is a contract clause also needed?</w:t>
      </w:r>
    </w:p>
    <w:p>
      <w:pPr>
        <w:spacing w:after="40" w:before="0"/>
        <w:ind w:left="227" w:hanging="227"/>
      </w:pPr>
      <w:r>
        <w:rPr>
          <w:rFonts w:ascii="Arial" w:hAnsi="Arial" w:eastAsia="Arial" w:cs="Arial"/>
          <w:b w:val="0"/>
          <w:sz w:val="20"/>
        </w:rPr>
        <w:t>2. May the data be stored outside Mongolia (cloud, region [___]); what must the consent and the policy say?</w:t>
      </w:r>
    </w:p>
    <w:p>
      <w:pPr>
        <w:spacing w:after="40" w:before="0"/>
        <w:ind w:left="227" w:hanging="227"/>
      </w:pPr>
      <w:r>
        <w:rPr>
          <w:rFonts w:ascii="Arial" w:hAnsi="Arial" w:eastAsia="Arial" w:cs="Arial"/>
          <w:b w:val="0"/>
          <w:sz w:val="20"/>
        </w:rPr>
        <w:t>3. Are the retention periods (30 days coordinates, 2 years attendance, 24 months audit) acceptable?</w:t>
      </w:r>
    </w:p>
    <w:p>
      <w:pPr>
        <w:spacing w:after="40" w:before="0"/>
        <w:ind w:left="227" w:hanging="227"/>
      </w:pPr>
      <w:r>
        <w:rPr>
          <w:rFonts w:ascii="Arial" w:hAnsi="Arial" w:eastAsia="Arial" w:cs="Arial"/>
          <w:b w:val="0"/>
          <w:sz w:val="20"/>
        </w:rPr>
        <w:t>4. Breach duties: which authority, what deadline, who is informed? (Our incident plan has blanks for this.)</w:t>
      </w:r>
    </w:p>
    <w:p>
      <w:pPr>
        <w:spacing w:after="40" w:before="0"/>
        <w:ind w:left="227" w:hanging="227"/>
      </w:pPr>
      <w:r>
        <w:rPr>
          <w:rFonts w:ascii="Arial" w:hAnsi="Arial" w:eastAsia="Arial" w:cs="Arial"/>
          <w:b w:val="0"/>
          <w:sz w:val="20"/>
        </w:rPr>
        <w:t>5. Is registration or notification with the authority required? Which data-processing agreement do we need with each employer?</w:t>
      </w:r>
    </w:p>
    <w:p>
      <w:pPr>
        <w:spacing w:after="0" w:before="80"/>
      </w:pPr>
      <w:r>
        <w:rPr>
          <w:rFonts w:ascii="Arial" w:hAnsi="Arial" w:eastAsia="Arial" w:cs="Arial"/>
          <w:b w:val="0"/>
          <w:color w:val="666666"/>
          <w:sz w:val="15"/>
        </w:rPr>
        <w:t>Sources in the project: docs/legal/privacy-policy-draft.*, docs/consent/consent-v2-draft.mn.txt, docs/operations/pilot-server-safety.md, docs/operations/monitoring-and-incidents.md, PRD 15.3.</w:t>
      </w:r>
    </w:p>
    <w:sectPr w:rsidR="00FC693F" w:rsidRPr="0006063C" w:rsidSect="00034616">
      <w:pgSz w:w="11906" w:h="16838"/>
      <w:pgMar w:top="737"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