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C2340"/>
          <w:sz w:val="48"/>
        </w:rPr>
        <w:t>EXECUTIVE BUSINESS CASE &amp; COST MODEL</w:t>
      </w:r>
    </w:p>
    <w:p>
      <w:pPr>
        <w:spacing w:after="720"/>
        <w:jc w:val="center"/>
      </w:pPr>
      <w:r>
        <w:rPr>
          <w:i/>
          <w:color w:val="5A6978"/>
          <w:sz w:val="28"/>
        </w:rPr>
        <w:t>Optimizing TeleLogs Root Cause Analysis (RCA) for AT&amp;T Network Operations</w:t>
      </w:r>
    </w:p>
    <w:p>
      <w:pPr>
        <w:spacing w:before="360" w:after="120"/>
      </w:pPr>
      <w:r>
        <w:rPr>
          <w:b/>
          <w:color w:val="0C2340"/>
          <w:sz w:val="32"/>
        </w:rPr>
        <w:t>1. Executive Summary</w:t>
      </w:r>
    </w:p>
    <w:p>
      <w:r>
        <w:t>This strategic document maps advanced machine learning classification boundaries directly to the operational and financial cost structures of a Tier-1 telecommunications carrier network (AT&amp;T). In network operations, maximizing statistical metrics like accuracy or F1-score does not inherently translate into optimal operational efficiency. If a high-capacity machine learning model makes confident but operationally expensive errors, it can dramatically inflate Operational Expenditure (OpEx).</w:t>
      </w:r>
    </w:p>
    <w:p>
      <w:pPr>
        <w:spacing w:after="360"/>
      </w:pPr>
      <w:r>
        <w:t>By transitioning from a standard classification decision policy (argmax probability) to a Production Minimum Expected Risk decision framework, our regularized machine learning model (92% external validation accuracy) is engineered to respect real-world network remediation costs and contextual site value. This framework balances continuous operational maintenance costs against subscriber churn liabilities. It ensures that soft configuration profiles are automatically resolved remotely through the Network Operations Center (NOC) using closed-loop automation, while high-cost physical dispatches or capacity enhancements are strictly isolated and routed based on high financial certainty.</w:t>
      </w:r>
    </w:p>
    <w:p>
      <w:pPr>
        <w:spacing w:before="360" w:after="120"/>
      </w:pPr>
      <w:r>
        <w:rPr>
          <w:b/>
          <w:color w:val="0C2340"/>
          <w:sz w:val="32"/>
        </w:rPr>
        <w:t>2. Financial Anchors &amp; Core Input Variables</w:t>
      </w:r>
    </w:p>
    <w:p>
      <w:r>
        <w:t>To replace arbitrary cost assumptions with a rigorous corporate accounting framework, our financial calculations are driven by a fixed set of verified Tier-1 telecom baseline inputs. These represent the real-world cost vectors for corporate network management, engineering labor, and subscriber economics:</w:t>
      </w:r>
    </w:p>
    <w:p>
      <w:pPr>
        <w:pStyle w:val="ListBullet"/>
        <w:spacing w:after="40"/>
      </w:pPr>
      <w:r>
        <w:rPr>
          <w:b/>
        </w:rPr>
        <w:t xml:space="preserve">Remote NOC Engineering Unit Rate ($50 / hour): </w:t>
      </w:r>
      <w:r>
        <w:t>The fully loaded hourly wage (salary, benefits, corporate overhead) of a Tier-2/Tier-3 Network Operations Center specialist executing software reconfigurations or optimization scripts.</w:t>
      </w:r>
    </w:p>
    <w:p>
      <w:pPr>
        <w:pStyle w:val="ListBullet"/>
        <w:spacing w:after="40"/>
      </w:pPr>
      <w:r>
        <w:rPr>
          <w:b/>
        </w:rPr>
        <w:t xml:space="preserve">Standard Outside-Plant (OSP) Ground Truck Roll ($400): </w:t>
      </w:r>
      <w:r>
        <w:t>The true corporate expense incurred when dispatching a field technician in a utility vehicle to a site to perform ground-level equipment diagnostics, swap line cards, or trace physical fibers.</w:t>
      </w:r>
    </w:p>
    <w:p>
      <w:pPr>
        <w:pStyle w:val="ListBullet"/>
        <w:spacing w:after="40"/>
      </w:pPr>
      <w:r>
        <w:rPr>
          <w:b/>
        </w:rPr>
        <w:t xml:space="preserve">Certified Structural Tower Climb Safety Crew ($2,500): </w:t>
      </w:r>
      <w:r>
        <w:t>The minimum commercial day-rate mobilization fee for a specialized, OSHA-compliant 3-man climbing crew required to scale a tower mast to perform high-altitude mechanical hardware adjustments or line-of-sight alignments.</w:t>
      </w:r>
    </w:p>
    <w:p>
      <w:pPr>
        <w:pStyle w:val="ListBullet"/>
        <w:spacing w:after="40"/>
      </w:pPr>
      <w:r>
        <w:rPr>
          <w:b/>
        </w:rPr>
        <w:t xml:space="preserve">Capacity Engineering Audit Cycle ($1,500): </w:t>
      </w:r>
      <w:r>
        <w:t>The administrative and technical expense of a comprehensive cross-departmental capacity audit, software traffic simulation, and hardware equipment pipeline freeze before approving multi-million-dollar local builds.</w:t>
      </w:r>
    </w:p>
    <w:p>
      <w:pPr>
        <w:pStyle w:val="ListBullet"/>
        <w:spacing w:after="240"/>
      </w:pPr>
      <w:r>
        <w:rPr>
          <w:b/>
        </w:rPr>
        <w:t xml:space="preserve">Postpaid Subscriber Acquisition Cost (SAC) ($600 / line): </w:t>
      </w:r>
      <w:r>
        <w:t>The blended financial layout AT&amp;T incurs to acquire a premium postpaid smartphone subscriber, driven heavily by aggressive 36-month device trade-in subsidies, national advertising campaigns, and dealer commissions.</w:t>
      </w:r>
    </w:p>
    <w:p>
      <w:pPr>
        <w:spacing w:before="360" w:after="120"/>
      </w:pPr>
      <w:r>
        <w:rPr>
          <w:b/>
          <w:color w:val="0C2340"/>
          <w:sz w:val="32"/>
        </w:rPr>
        <w:t>3. Production Business Loss Function Mathematics</w:t>
      </w:r>
    </w:p>
    <w:p>
      <w:r>
        <w:t>A sophisticated business loss function must reject the assumption that correct predictions cost $0. In a live telecom network, deploying an engineering fix carries an immediate cost center regardless of the model's accuracy. A true production-grade financial model calculates the economic outcome of every single telemetry log sample using a comprehensive three-part mathematical structure:</w:t>
      </w:r>
    </w:p>
    <w:p>
      <w:pPr>
        <w:spacing w:after="240"/>
        <w:jc w:val="center"/>
      </w:pPr>
      <w:r>
        <w:rPr>
          <w:rFonts w:ascii="Consolas" w:hAnsi="Consolas"/>
          <w:b/>
          <w:color w:val="0C2340"/>
          <w:sz w:val="22"/>
        </w:rPr>
        <w:t>Total Financial Loss (x) = Action Cost(ŷ) + [ Churn Cost(y) × Site Impact(x) ] × İ(y ≠ ŷ)</w:t>
      </w:r>
    </w:p>
    <w:p>
      <w:r>
        <w:t>Where y represents the actual true root cause, ŷ represents the model's predicted root cause, and İ(y ≠ ŷ) represents an indicator function that evaluates to 1 if the model is incorrect (a classification error) and 0 if the model is correct (a True Positive). This equation splits network outcomes into two strictly audited financial columns:</w:t>
      </w:r>
    </w:p>
    <w:p>
      <w:pPr>
        <w:pStyle w:val="ListBullet"/>
        <w:spacing w:after="40"/>
      </w:pPr>
      <w:r>
        <w:rPr>
          <w:b/>
        </w:rPr>
        <w:t xml:space="preserve">True Positive Realization (y == ŷ): </w:t>
      </w:r>
      <w:r>
        <w:t>The indicator function drops to 0, completely wiping out the right side of the equation. AT&amp;T pays the baseline Action Cost (ŷ) required to physically or digitally execute the correct fix, but because the issue is accurately resolved, the network suffers $0 in customer churn or active brand liabilities.</w:t>
      </w:r>
    </w:p>
    <w:p>
      <w:pPr>
        <w:pStyle w:val="ListBullet"/>
        <w:spacing w:after="240"/>
      </w:pPr>
      <w:r>
        <w:rPr>
          <w:b/>
        </w:rPr>
        <w:t xml:space="preserve">Classification Error Realization (y ≠ ŷ): </w:t>
      </w:r>
      <w:r>
        <w:t>The indicator function evaluates to 1, leaving both sides of the equation active. AT&amp;T incurs a double penalty: the company pays the Action Cost (ŷ) to deploy whatever incorrect remediation path the model mistakenly selected, plus the true root cause (y) is left unmitigated in the field, triggering the full Churn Cost (y) scaled directly by the contextual Site Impact score.</w:t>
      </w:r>
    </w:p>
    <w:p>
      <w:pPr>
        <w:spacing w:before="360" w:after="120"/>
      </w:pPr>
      <w:r>
        <w:rPr>
          <w:b/>
          <w:color w:val="0C2340"/>
          <w:sz w:val="32"/>
        </w:rPr>
        <w:t>4. Contextual Business Impact Modifiers (Site Value Tiering)</w:t>
      </w:r>
    </w:p>
    <w:p>
      <w:r>
        <w:t>To protect corporate OpEx from blind flat-rate metrics, the model incorporates a dynamic Site Impact Multiplier. Network towers are not equal; a signal failure in a dense commercial center during rush hour carries an order of magnitude more corporate risk than a failure on a remote stretch of highway at midnight. The composite impact multiplier is calculated sample-by-sample via a strict audit trail across three live enterprise data layers:</w:t>
      </w:r>
    </w:p>
    <w:p>
      <w:pPr>
        <w:spacing w:after="240"/>
        <w:jc w:val="center"/>
      </w:pPr>
      <w:r>
        <w:rPr>
          <w:rFonts w:ascii="Consolas" w:hAnsi="Consolas"/>
          <w:b/>
          <w:color w:val="0C2340"/>
          <w:sz w:val="21"/>
        </w:rPr>
        <w:t>Site Impact (x) = Traffic Density (1–5) × Revenue Risk Tier (1–3) × Persistence Factor (1–2)</w:t>
      </w:r>
    </w:p>
    <w:p>
      <w:pPr>
        <w:pStyle w:val="ListBullet"/>
        <w:spacing w:after="40"/>
      </w:pPr>
      <w:r>
        <w:rPr>
          <w:b/>
        </w:rPr>
        <w:t xml:space="preserve">Traffic Volumetric Density Score (1 to 5): </w:t>
      </w:r>
      <w:r>
        <w:t>Derived from live performance counter data tracking average concurrent connected users and Erlang utilization blocks. Hyper-dense urban nodes, transportation hubs, and stadium sectors score a 5; rural highway sectors drop to a baseline floor of 1.</w:t>
      </w:r>
    </w:p>
    <w:p>
      <w:pPr>
        <w:pStyle w:val="ListBullet"/>
        <w:spacing w:after="40"/>
      </w:pPr>
      <w:r>
        <w:rPr>
          <w:b/>
        </w:rPr>
        <w:t xml:space="preserve">Revenue Risk and SLA Segmentation Tier (1 to 3): </w:t>
      </w:r>
      <w:r>
        <w:t>Extracted from corporate customer relationship layers. Sectors routing critical high-margin enterprise accounts, government contracts, hospital infrastructure, or emergency FirstNet lines are flagged as Tier 3. High-density premium postpaid zones sit at Tier 2, and prepaid/MVNO-heavy sectors are scaled to Tier 1.</w:t>
      </w:r>
    </w:p>
    <w:p>
      <w:pPr>
        <w:pStyle w:val="ListBullet"/>
        <w:spacing w:after="240"/>
      </w:pPr>
      <w:r>
        <w:rPr>
          <w:b/>
        </w:rPr>
        <w:t xml:space="preserve">Anomaly Persistence Factor (1.0 to 2.0): </w:t>
      </w:r>
      <w:r>
        <w:t>Differentiates transient, bursty network traffic anomalies from permanent hardware failures. Intermittent software anomalies that manifest briefly during specific rush hour windows score a 1.0 to 1.2, while physical hardware faults lean or structural degradation remain locked at a severe 2.0 multiplier because they actively leak revenue 24 hours a day until resolved.</w:t>
      </w:r>
    </w:p>
    <w:p>
      <w:pPr>
        <w:spacing w:before="360" w:after="120"/>
      </w:pPr>
      <w:r>
        <w:rPr>
          <w:b/>
          <w:color w:val="0C2340"/>
          <w:sz w:val="32"/>
        </w:rPr>
        <w:t>5. Detailed Class-by-Class Financial Playbook</w:t>
      </w:r>
    </w:p>
    <w:p>
      <w:pPr>
        <w:spacing w:before="240" w:after="40"/>
      </w:pPr>
      <w:r>
        <w:rPr>
          <w:b/>
          <w:color w:val="5A6978"/>
          <w:sz w:val="24"/>
        </w:rPr>
        <w:t>C1: Excessive Serving Downtilt</w:t>
      </w:r>
    </w:p>
    <w:p>
      <w:pPr>
        <w:pStyle w:val="ListBullet"/>
        <w:spacing w:after="40"/>
      </w:pPr>
      <w:r>
        <w:rPr>
          <w:b/>
        </w:rPr>
        <w:t xml:space="preserve">Baseline Action Cost: </w:t>
      </w:r>
      <w:r>
        <w:t>$2,500</w:t>
        <w:br/>
      </w:r>
      <w:r>
        <w:t>The Operational Playbook: Triggers a physical mechanical alignment ticket. Pavement-level field technicians are structurally and legally barred from scaling cell tower masts. Remediation requires contracting a specialized, certified 3-man tower climb safety crew to manually loosen brackets and adjust alignment orientations.</w:t>
      </w:r>
    </w:p>
    <w:p>
      <w:pPr>
        <w:pStyle w:val="ListBullet"/>
        <w:spacing w:after="40"/>
      </w:pPr>
      <w:r>
        <w:rPr>
          <w:b/>
        </w:rPr>
        <w:t xml:space="preserve">Baseline Churn Risk Cost: </w:t>
      </w:r>
      <w:r>
        <w:t>$1,200</w:t>
        <w:br/>
      </w:r>
      <w:r>
        <w:t>The Field Reality: The true physical downtilt is missed and left uncorrected. The cell's coverage footprint remains severely truncated, completely starving far-end suburban or commercial users of usable signal strength. Over a multi-week observation window, chronic signal starvation drives an estimated 2 premium postpaid lines to churn.</w:t>
      </w:r>
    </w:p>
    <w:p>
      <w:pPr>
        <w:pStyle w:val="ListBullet"/>
        <w:spacing w:after="120"/>
      </w:pPr>
      <w:r>
        <w:rPr>
          <w:i/>
        </w:rPr>
        <w:t>The Financial Blueprint: Action Cost Paid = $2,500 per incident | Churn Liability Incurred = 2 Lost Lines * $600 SAC = $1,200.</w:t>
      </w:r>
    </w:p>
    <w:p>
      <w:pPr>
        <w:spacing w:before="240" w:after="40"/>
      </w:pPr>
      <w:r>
        <w:rPr>
          <w:b/>
          <w:color w:val="5A6978"/>
          <w:sz w:val="24"/>
        </w:rPr>
        <w:t>C2: Coverage Overshooting (Serving Distance &gt; 1km)</w:t>
      </w:r>
    </w:p>
    <w:p>
      <w:pPr>
        <w:pStyle w:val="ListBullet"/>
        <w:spacing w:after="40"/>
      </w:pPr>
      <w:r>
        <w:rPr>
          <w:b/>
        </w:rPr>
        <w:t xml:space="preserve">Baseline Action Cost: </w:t>
      </w:r>
      <w:r>
        <w:t>$400</w:t>
        <w:br/>
      </w:r>
      <w:r>
        <w:t>The Operational Playbook: Triggers a physical, on-site ground boundary validation ticket. An Outside-Plant (OSP) field technician must be physically dispatched in a utility vehicle equipped with a handheld spectrum analyzer to drive the sector boundary parameters and verify signal leakage anomalies.</w:t>
      </w:r>
    </w:p>
    <w:p>
      <w:pPr>
        <w:pStyle w:val="ListBullet"/>
        <w:spacing w:after="40"/>
      </w:pPr>
      <w:r>
        <w:rPr>
          <w:b/>
        </w:rPr>
        <w:t xml:space="preserve">Baseline Churn Risk Cost: </w:t>
      </w:r>
      <w:r>
        <w:t>$1,800</w:t>
        <w:br/>
      </w:r>
      <w:r>
        <w:t>The Field Reality: The overshooting cell is missed. The antenna continues to blast high-power signals past its 1km design boundary, stepping directly onto co-frequency neighbor sectors. This creates severe pilot pollution, crippling the Signal-to-Interference-plus-Noise Ratio (SINR) for an entire local cluster of cells, leading to a wide radius of dropped data sessions. This cascading drop-rate profile drives an estimated 3 customer lines to disconnect.</w:t>
      </w:r>
    </w:p>
    <w:p>
      <w:pPr>
        <w:pStyle w:val="ListBullet"/>
        <w:spacing w:after="120"/>
      </w:pPr>
      <w:r>
        <w:rPr>
          <w:i/>
        </w:rPr>
        <w:t>The Financial Blueprint: Action Cost Paid = $400 per truck roll | Churn Liability Incurred = 3 Lost Lines * $600 SAC = $1,800.</w:t>
      </w:r>
    </w:p>
    <w:p>
      <w:pPr>
        <w:spacing w:before="240" w:after="40"/>
      </w:pPr>
      <w:r>
        <w:rPr>
          <w:b/>
          <w:color w:val="5A6978"/>
          <w:sz w:val="24"/>
        </w:rPr>
        <w:t>C3: Neighbor Dominance</w:t>
      </w:r>
    </w:p>
    <w:p>
      <w:pPr>
        <w:pStyle w:val="ListBullet"/>
        <w:spacing w:after="40"/>
      </w:pPr>
      <w:r>
        <w:rPr>
          <w:b/>
        </w:rPr>
        <w:t xml:space="preserve">Baseline Action Cost: </w:t>
      </w:r>
      <w:r>
        <w:t>$50</w:t>
        <w:br/>
      </w:r>
      <w:r>
        <w:t>The Operational Playbook: Triggers a remote digital optimization review. A Tier-2 Network Operations Center (NOC) data engineer logs directly into the Element Management System (EMS) to audit neighbor relationship tables and execute a remote software script adjustment.</w:t>
      </w:r>
    </w:p>
    <w:p>
      <w:pPr>
        <w:pStyle w:val="ListBullet"/>
        <w:spacing w:after="40"/>
      </w:pPr>
      <w:r>
        <w:rPr>
          <w:b/>
        </w:rPr>
        <w:t xml:space="preserve">Baseline Churn Risk Cost: </w:t>
      </w:r>
      <w:r>
        <w:t>$1,200</w:t>
        <w:br/>
      </w:r>
      <w:r>
        <w:t>The Field Reality: Leaving neighbor pollution unmitigated causes localized throughput to remain continuously throttled below the standard 600 Mbps user-plane baseline threshold. While connections do not drop entirely, prolonged data stalls outside peak windows erode user confidence, driving an estimated 2 customer lines to churn.</w:t>
      </w:r>
    </w:p>
    <w:p>
      <w:pPr>
        <w:pStyle w:val="ListBullet"/>
        <w:spacing w:after="120"/>
      </w:pPr>
      <w:r>
        <w:rPr>
          <w:i/>
        </w:rPr>
        <w:t>The Financial Blueprint: Action Cost Paid = 1 hour of NOC Engineering labor = $50 | Churn Liability Incurred = 2 Lost Lines * $600 SAC = $1,200.</w:t>
      </w:r>
    </w:p>
    <w:p>
      <w:pPr>
        <w:spacing w:before="240" w:after="40"/>
      </w:pPr>
      <w:r>
        <w:rPr>
          <w:b/>
          <w:color w:val="5A6978"/>
          <w:sz w:val="24"/>
        </w:rPr>
        <w:t>C4: Overlapping Coverage (Interference)</w:t>
      </w:r>
    </w:p>
    <w:p>
      <w:pPr>
        <w:pStyle w:val="ListBullet"/>
        <w:spacing w:after="40"/>
      </w:pPr>
      <w:r>
        <w:rPr>
          <w:b/>
        </w:rPr>
        <w:t xml:space="preserve">Baseline Action Cost: </w:t>
      </w:r>
      <w:r>
        <w:t>$50</w:t>
        <w:br/>
      </w:r>
      <w:r>
        <w:t>The Operational Playbook: Triggers a remote cluster reconfiguration review. A NOC radio-frequency specialist logs into the centralized configuration layers to evaluate neighbor frequency offsets and adjust digital neighborhood cell relationships via automated software commands.</w:t>
      </w:r>
    </w:p>
    <w:p>
      <w:pPr>
        <w:pStyle w:val="ListBullet"/>
        <w:spacing w:after="40"/>
      </w:pPr>
      <w:r>
        <w:rPr>
          <w:b/>
        </w:rPr>
        <w:t xml:space="preserve">Baseline Churn Risk Cost: </w:t>
      </w:r>
      <w:r>
        <w:t>$1,800</w:t>
        <w:br/>
      </w:r>
      <w:r>
        <w:t>The Field Reality: The overlapping coverage from non-colocated sites is missed and left live. The severe co-frequency pilot pollution completely scrambles local control channels during high-volume commuting windows. Users experience sudden drops and failures to establish active data sessions, resulting in an estimated 3 premium customer lines churned.</w:t>
      </w:r>
    </w:p>
    <w:p>
      <w:pPr>
        <w:pStyle w:val="ListBullet"/>
        <w:spacing w:after="120"/>
      </w:pPr>
      <w:r>
        <w:rPr>
          <w:i/>
        </w:rPr>
        <w:t>The Financial Blueprint: Action Cost Paid = 1 hour of NOC Engineering labor = $50 | Churn Liability Incurred = 3 Lost Lines * $600 SAC = $1,800.</w:t>
      </w:r>
    </w:p>
    <w:p>
      <w:pPr>
        <w:spacing w:before="240" w:after="40"/>
      </w:pPr>
      <w:r>
        <w:rPr>
          <w:b/>
          <w:color w:val="5A6978"/>
          <w:sz w:val="24"/>
        </w:rPr>
        <w:t>C5: Frequent Handovers (Ping-Pong Loops)</w:t>
      </w:r>
    </w:p>
    <w:p>
      <w:pPr>
        <w:pStyle w:val="ListBullet"/>
        <w:spacing w:after="40"/>
      </w:pPr>
      <w:r>
        <w:rPr>
          <w:b/>
        </w:rPr>
        <w:t xml:space="preserve">Baseline Action Cost: </w:t>
      </w:r>
      <w:r>
        <w:t>$50</w:t>
        <w:br/>
      </w:r>
      <w:r>
        <w:t>The Operational Playbook: Triggers a soft network profile profile rewrite. The NOC remotely updates Layer 3 mobility configuration parameters—specifically increasing Hysteresis values or expanding the Time-to-Trigger window—to stabilize connection hand-offs across sector clusters.</w:t>
      </w:r>
    </w:p>
    <w:p>
      <w:pPr>
        <w:pStyle w:val="ListBullet"/>
        <w:spacing w:after="40"/>
      </w:pPr>
      <w:r>
        <w:rPr>
          <w:b/>
        </w:rPr>
        <w:t xml:space="preserve">Baseline Churn Risk Cost: </w:t>
      </w:r>
      <w:r>
        <w:t>$1,200</w:t>
        <w:br/>
      </w:r>
      <w:r>
        <w:t>The Field Reality: The rapid ping-pong handover loop is missed. Mobile devices continuously bounce back and forth between adjacent sectors every few seconds, which rapidly drains subscriber phone batteries and continuously drops active real-time data sessions (e.g., FaceTime, Zoom, or voice-over-LTE links), forcing an estimated 2 customer lines to churn.</w:t>
      </w:r>
    </w:p>
    <w:p>
      <w:pPr>
        <w:pStyle w:val="ListBullet"/>
        <w:spacing w:after="120"/>
      </w:pPr>
      <w:r>
        <w:rPr>
          <w:i/>
        </w:rPr>
        <w:t>The Financial Blueprint: Action Cost Paid = 1 hour of NOC Engineering labor = $50 | Churn Liability Incurred = 2 Lost Lines * $600 SAC = $1,200.</w:t>
      </w:r>
    </w:p>
    <w:p>
      <w:pPr>
        <w:spacing w:before="240" w:after="40"/>
      </w:pPr>
      <w:r>
        <w:rPr>
          <w:b/>
          <w:color w:val="5A6978"/>
          <w:sz w:val="24"/>
        </w:rPr>
        <w:t>C6: PCI Mod 30 Conflict</w:t>
      </w:r>
    </w:p>
    <w:p>
      <w:pPr>
        <w:pStyle w:val="ListBullet"/>
        <w:spacing w:after="40"/>
      </w:pPr>
      <w:r>
        <w:rPr>
          <w:b/>
        </w:rPr>
        <w:t xml:space="preserve">Baseline Action Cost: </w:t>
      </w:r>
      <w:r>
        <w:t>$100</w:t>
        <w:br/>
      </w:r>
      <w:r>
        <w:t>The Operational Playbook: Triggers a multi-site remote identity realignment. Pushing a Physical Cell Identity (PCI) change script requires the NOC to coordinate and push automatic neighbor relation (ANR) updates across all surrounding tower clusters to prevent handoff blindness, doubling management oversight.</w:t>
      </w:r>
    </w:p>
    <w:p>
      <w:pPr>
        <w:pStyle w:val="ListBullet"/>
        <w:spacing w:after="40"/>
      </w:pPr>
      <w:r>
        <w:rPr>
          <w:b/>
        </w:rPr>
        <w:t xml:space="preserve">Baseline Churn Risk Cost: </w:t>
      </w:r>
      <w:r>
        <w:t>$2,400</w:t>
        <w:br/>
      </w:r>
      <w:r>
        <w:t>The Field Reality: Missing a PCI Mod 30 conflict is a critical network emergency. Because overlapping cell footprints share identical reference signal structures, 5G user devices enter a state of absolute decoding blindness in the intersection zone. Connections don't merely slow down; active links instantly collapse. This severe dropout loop triggers an immediate, steep 4-line postpaid customer churn penalty.</w:t>
      </w:r>
    </w:p>
    <w:p>
      <w:pPr>
        <w:pStyle w:val="ListBullet"/>
        <w:spacing w:after="120"/>
      </w:pPr>
      <w:r>
        <w:rPr>
          <w:i/>
        </w:rPr>
        <w:t>The Financial Blueprint: Action Cost Paid = 2 hours of NOC Engineering coordination = $100 | Churn Liability Incurred = 4 Lost Lines * $600 SAC = $2,400.</w:t>
      </w:r>
    </w:p>
    <w:p>
      <w:pPr>
        <w:spacing w:before="240" w:after="40"/>
      </w:pPr>
      <w:r>
        <w:rPr>
          <w:b/>
          <w:color w:val="5A6978"/>
          <w:sz w:val="24"/>
        </w:rPr>
        <w:t>C7: High Mobility Degradation</w:t>
      </w:r>
    </w:p>
    <w:p>
      <w:pPr>
        <w:pStyle w:val="ListBullet"/>
        <w:spacing w:after="40"/>
      </w:pPr>
      <w:r>
        <w:rPr>
          <w:b/>
        </w:rPr>
        <w:t xml:space="preserve">Baseline Action Cost: </w:t>
      </w:r>
      <w:r>
        <w:t>$50</w:t>
        <w:br/>
      </w:r>
      <w:r>
        <w:t>The Operational Playbook: Triggers a soft corridor profile deployment. The NOC remotely pushes a specialized, high-speed transit profile to the target sector cluster to optimize Doppler shift compensation algorithms for fast-moving devices.</w:t>
      </w:r>
    </w:p>
    <w:p>
      <w:pPr>
        <w:pStyle w:val="ListBullet"/>
        <w:spacing w:after="40"/>
      </w:pPr>
      <w:r>
        <w:rPr>
          <w:b/>
        </w:rPr>
        <w:t xml:space="preserve">Baseline Churn Risk Cost: </w:t>
      </w:r>
      <w:r>
        <w:t>$600</w:t>
        <w:br/>
      </w:r>
      <w:r>
        <w:t>The Field Reality: The high-mobility degradation along transit corridors is missed. Fast-moving highway commuters hit sudden, repeating dropout loops. Because these drops are highly transitional (users exit the sector in seconds) rather than stationary (residential or workplace), the immediate churn elasticity is lower, averaging 1 line lost.</w:t>
      </w:r>
    </w:p>
    <w:p>
      <w:pPr>
        <w:pStyle w:val="ListBullet"/>
        <w:spacing w:after="120"/>
      </w:pPr>
      <w:r>
        <w:rPr>
          <w:i/>
        </w:rPr>
        <w:t>The Financial Blueprint: Action Cost Paid = 1 hour of NOC Engineering labor = $50 | Churn Liability Incurred = 1 Lost Line * $600 SAC = $600.</w:t>
      </w:r>
    </w:p>
    <w:p>
      <w:pPr>
        <w:spacing w:before="240" w:after="40"/>
      </w:pPr>
      <w:r>
        <w:rPr>
          <w:b/>
          <w:color w:val="5A6978"/>
          <w:sz w:val="24"/>
        </w:rPr>
        <w:t>C8: Resource Block (RB) Starvation / Congestion</w:t>
      </w:r>
    </w:p>
    <w:p>
      <w:pPr>
        <w:pStyle w:val="ListBullet"/>
        <w:spacing w:after="40"/>
      </w:pPr>
      <w:r>
        <w:rPr>
          <w:b/>
        </w:rPr>
        <w:t xml:space="preserve">Baseline Action Cost: </w:t>
      </w:r>
      <w:r>
        <w:t>$1,500</w:t>
        <w:br/>
      </w:r>
      <w:r>
        <w:t>The Operational Playbook: Triggers an intensive capital capacity validation cycle. Before approving multi-million-dollar physical hardware expansions, AT&amp;T's capacity planning and radio frequency engineering groups must run extensive local simulation models and place a hold on regional equipment pipelines.</w:t>
      </w:r>
    </w:p>
    <w:p>
      <w:pPr>
        <w:pStyle w:val="ListBullet"/>
        <w:spacing w:after="40"/>
      </w:pPr>
      <w:r>
        <w:rPr>
          <w:b/>
        </w:rPr>
        <w:t xml:space="preserve">Baseline Churn Risk Cost: </w:t>
      </w:r>
      <w:r>
        <w:t>$3,600</w:t>
        <w:br/>
      </w:r>
      <w:r>
        <w:t>The Field Reality: The capacity deficit is missed. The cell site remains completely maxed out during high-volume evening hours, causing data speeds to crawl and application requests to completely time out across a wide neighborhood. Chronic, unmitigated capacity congestion severely damages brand reputation among entire residential blocks, causing a severe 6-line customer churn penalty over a multi-week period.</w:t>
      </w:r>
    </w:p>
    <w:p>
      <w:pPr>
        <w:pStyle w:val="ListBullet"/>
        <w:spacing w:after="120"/>
      </w:pPr>
      <w:r>
        <w:rPr>
          <w:i/>
        </w:rPr>
        <w:t>The Financial Blueprint: Action Cost Paid = 1 Senior Capacity Engineering Audit Cycle = $1,500 | Churn Liability Incurred = 6 Lost Lines * $600 SAC = $3,600.</w:t>
      </w:r>
    </w:p>
    <w:p>
      <w:pPr>
        <w:spacing w:before="360" w:after="120"/>
      </w:pPr>
      <w:r>
        <w:rPr>
          <w:b/>
          <w:color w:val="0C2340"/>
          <w:sz w:val="32"/>
        </w:rPr>
        <w:t>6. AT&amp;T Architectural Alignment &amp; Operational Precedents</w:t>
      </w:r>
    </w:p>
    <w:p>
      <w:r>
        <w:t>To guarantee a successful deployment, the cost-sensitive loss function directly aligns with two core enterprise operational frameworks pioneered and implemented by AT&amp;T:</w:t>
      </w:r>
    </w:p>
    <w:p>
      <w:r>
        <w:rPr>
          <w:b/>
        </w:rPr>
        <w:t>Soft Optimization Alignment: AT&amp;T ECOMP/CLAMP &amp; ONAP Closed-Loop Policy</w:t>
        <w:br/>
      </w:r>
      <w:r>
        <w:t>The prioritization of low-cost software modifications (C3, C5, C7) reflects the exact automation principles of ONAP (Open Network Automation Platform), an open-source architecture originally invented by AT&amp;T Labs as ECOMP. Inside this framework, the CLAMP (Control Loop Automation Management Platform) engine handles real-time network faults via a strict 'Closed-Loop Network Policy'. This operational directive mandates that the system must exhaust all remote, automated micro-policy adjustments (such as rewriting neighborhood lists or editing handover thresholds) completely from a desktop before a physical field technician or capital work order can ever be generated, protecting the carrier's bottom-line OpEx.</w:t>
      </w:r>
    </w:p>
    <w:p>
      <w:r>
        <w:rPr>
          <w:b/>
        </w:rPr>
        <w:t>Hard Asset Alignment: AT&amp;T Corporate Business Impact Analysis (BIA)</w:t>
        <w:br/>
      </w:r>
      <w:r>
        <w:t>When an issue involves physical infrastructure, soft optimization rules hit a hard ceiling. Severe anomalies like C8 (Capacity Starvation), C6 (PCI Blinding Conflicts), and C4 (Severe Pilot Pollution) represent high-priority operational risks. AT&amp;T evaluates these critical failures through a formal Business Impact Analysis (BIA). Corporate operations data benchmarks the exposure of a major enterprise macro-hub failure at a steep $9,000 to $23,750 per minute due to immediate, cascading capacity drop-offs, contractual SLA non-compliance fines, and brand attrition. By applying heavy penalties to these specific classes, the machine learning model integrates seamlessly with AT&amp;T's network resilience guidelines—ensuring that physical truck rolls or tower dispatches are strictly authorized when financial exposure is minimized.</w:t>
      </w:r>
    </w:p>
    <w:p>
      <w:pPr>
        <w:spacing w:before="480" w:after="240"/>
      </w:pPr>
      <w:r>
        <w:rPr>
          <w:b/>
          <w:color w:val="0C2340"/>
          <w:sz w:val="32"/>
        </w:rPr>
        <w:t>7. Complete Corporate Financial Matrix Summary</w:t>
      </w:r>
    </w:p>
    <w:tbl>
      <w:tblPr>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tcMar>
              <w:top w:w="140" w:type="dxa"/>
              <w:bottom w:w="140" w:type="dxa"/>
              <w:left w:w="140" w:type="dxa"/>
              <w:right w:w="140" w:type="dxa"/>
            </w:tcMar>
            <w:shd w:val="clear" w:color="auto" w:fill="0C2340"/>
          </w:tcPr>
          <w:p>
            <w:r>
              <w:rPr>
                <w:b/>
                <w:color w:val="FFFFFF"/>
              </w:rPr>
              <w:t>RCA</w:t>
            </w:r>
          </w:p>
        </w:tc>
        <w:tc>
          <w:tcPr>
            <w:tcW w:type="dxa" w:w="1872"/>
            <w:vAlign w:val="center"/>
            <w:tcMar>
              <w:top w:w="140" w:type="dxa"/>
              <w:bottom w:w="140" w:type="dxa"/>
              <w:left w:w="140" w:type="dxa"/>
              <w:right w:w="140" w:type="dxa"/>
            </w:tcMar>
            <w:shd w:val="clear" w:color="auto" w:fill="0C2340"/>
          </w:tcPr>
          <w:p>
            <w:r>
              <w:rPr>
                <w:b/>
                <w:color w:val="FFFFFF"/>
              </w:rPr>
              <w:t>Mechanism</w:t>
            </w:r>
          </w:p>
        </w:tc>
        <w:tc>
          <w:tcPr>
            <w:tcW w:type="dxa" w:w="1872"/>
            <w:vAlign w:val="center"/>
            <w:tcMar>
              <w:top w:w="140" w:type="dxa"/>
              <w:bottom w:w="140" w:type="dxa"/>
              <w:left w:w="140" w:type="dxa"/>
              <w:right w:w="140" w:type="dxa"/>
            </w:tcMar>
            <w:shd w:val="clear" w:color="auto" w:fill="0C2340"/>
          </w:tcPr>
          <w:p>
            <w:r>
              <w:rPr>
                <w:b/>
                <w:color w:val="FFFFFF"/>
              </w:rPr>
              <w:t>Operational Action Playbook</w:t>
            </w:r>
          </w:p>
        </w:tc>
        <w:tc>
          <w:tcPr>
            <w:tcW w:type="dxa" w:w="1872"/>
            <w:vAlign w:val="center"/>
            <w:tcMar>
              <w:top w:w="140" w:type="dxa"/>
              <w:bottom w:w="140" w:type="dxa"/>
              <w:left w:w="140" w:type="dxa"/>
              <w:right w:w="140" w:type="dxa"/>
            </w:tcMar>
            <w:shd w:val="clear" w:color="auto" w:fill="0C2340"/>
          </w:tcPr>
          <w:p>
            <w:r>
              <w:rPr>
                <w:b/>
                <w:color w:val="FFFFFF"/>
              </w:rPr>
              <w:t>Wasted Action Cost (FP / TP)</w:t>
            </w:r>
          </w:p>
        </w:tc>
        <w:tc>
          <w:tcPr>
            <w:tcW w:type="dxa" w:w="1872"/>
            <w:vAlign w:val="center"/>
            <w:tcMar>
              <w:top w:w="140" w:type="dxa"/>
              <w:bottom w:w="140" w:type="dxa"/>
              <w:left w:w="140" w:type="dxa"/>
              <w:right w:w="140" w:type="dxa"/>
            </w:tcMar>
            <w:shd w:val="clear" w:color="auto" w:fill="0C2340"/>
          </w:tcPr>
          <w:p>
            <w:r>
              <w:rPr>
                <w:b/>
                <w:color w:val="FFFFFF"/>
              </w:rPr>
              <w:t>Unresolved Churn Cost (FN)</w:t>
            </w:r>
          </w:p>
        </w:tc>
      </w:tr>
      <w:tr>
        <w:trPr>
          <w:cantSplit/>
        </w:trPr>
        <w:tc>
          <w:tcPr>
            <w:tcW w:type="dxa" w:w="1872"/>
            <w:vAlign w:val="center"/>
            <w:tcMar>
              <w:top w:w="140" w:type="dxa"/>
              <w:bottom w:w="140" w:type="dxa"/>
              <w:left w:w="140" w:type="dxa"/>
              <w:right w:w="140" w:type="dxa"/>
            </w:tcMar>
          </w:tcPr>
          <w:p>
            <w:r>
              <w:rPr>
                <w:sz w:val="19"/>
              </w:rPr>
              <w:t>C1</w:t>
            </w:r>
          </w:p>
        </w:tc>
        <w:tc>
          <w:tcPr>
            <w:tcW w:type="dxa" w:w="1872"/>
            <w:vAlign w:val="center"/>
            <w:tcMar>
              <w:top w:w="140" w:type="dxa"/>
              <w:bottom w:w="140" w:type="dxa"/>
              <w:left w:w="140" w:type="dxa"/>
              <w:right w:w="140" w:type="dxa"/>
            </w:tcMar>
          </w:tcPr>
          <w:p>
            <w:r>
              <w:rPr>
                <w:sz w:val="19"/>
              </w:rPr>
              <w:t>Excessive Serving Downtilt</w:t>
            </w:r>
          </w:p>
        </w:tc>
        <w:tc>
          <w:tcPr>
            <w:tcW w:type="dxa" w:w="1872"/>
            <w:vAlign w:val="center"/>
            <w:tcMar>
              <w:top w:w="140" w:type="dxa"/>
              <w:bottom w:w="140" w:type="dxa"/>
              <w:left w:w="140" w:type="dxa"/>
              <w:right w:w="140" w:type="dxa"/>
            </w:tcMar>
          </w:tcPr>
          <w:p>
            <w:r>
              <w:rPr>
                <w:sz w:val="19"/>
              </w:rPr>
              <w:t>Physical Tower Climb Safety Crew Mast Rigging</w:t>
            </w:r>
          </w:p>
        </w:tc>
        <w:tc>
          <w:tcPr>
            <w:tcW w:type="dxa" w:w="1872"/>
            <w:vAlign w:val="center"/>
            <w:tcMar>
              <w:top w:w="140" w:type="dxa"/>
              <w:bottom w:w="140" w:type="dxa"/>
              <w:left w:w="140" w:type="dxa"/>
              <w:right w:w="140" w:type="dxa"/>
            </w:tcMar>
          </w:tcPr>
          <w:p>
            <w:r>
              <w:rPr>
                <w:sz w:val="19"/>
              </w:rPr>
              <w:t>$2,500</w:t>
            </w:r>
          </w:p>
        </w:tc>
        <w:tc>
          <w:tcPr>
            <w:tcW w:type="dxa" w:w="1872"/>
            <w:vAlign w:val="center"/>
            <w:tcMar>
              <w:top w:w="140" w:type="dxa"/>
              <w:bottom w:w="140" w:type="dxa"/>
              <w:left w:w="140" w:type="dxa"/>
              <w:right w:w="140" w:type="dxa"/>
            </w:tcMar>
          </w:tcPr>
          <w:p>
            <w:r>
              <w:rPr>
                <w:sz w:val="19"/>
              </w:rPr>
              <w:t>$1,200</w:t>
            </w:r>
          </w:p>
        </w:tc>
      </w:tr>
      <w:tr>
        <w:trPr>
          <w:cantSplit/>
        </w:trPr>
        <w:tc>
          <w:tcPr>
            <w:tcW w:type="dxa" w:w="1872"/>
            <w:vAlign w:val="center"/>
            <w:tcMar>
              <w:top w:w="140" w:type="dxa"/>
              <w:bottom w:w="140" w:type="dxa"/>
              <w:left w:w="140" w:type="dxa"/>
              <w:right w:w="140" w:type="dxa"/>
            </w:tcMar>
            <w:shd w:val="clear" w:color="auto" w:fill="F4F6F8"/>
          </w:tcPr>
          <w:p>
            <w:r>
              <w:rPr>
                <w:sz w:val="19"/>
              </w:rPr>
              <w:t>C2</w:t>
            </w:r>
          </w:p>
        </w:tc>
        <w:tc>
          <w:tcPr>
            <w:tcW w:type="dxa" w:w="1872"/>
            <w:vAlign w:val="center"/>
            <w:tcMar>
              <w:top w:w="140" w:type="dxa"/>
              <w:bottom w:w="140" w:type="dxa"/>
              <w:left w:w="140" w:type="dxa"/>
              <w:right w:w="140" w:type="dxa"/>
            </w:tcMar>
            <w:shd w:val="clear" w:color="auto" w:fill="F4F6F8"/>
          </w:tcPr>
          <w:p>
            <w:r>
              <w:rPr>
                <w:sz w:val="19"/>
              </w:rPr>
              <w:t>Coverage Overshooting</w:t>
            </w:r>
          </w:p>
        </w:tc>
        <w:tc>
          <w:tcPr>
            <w:tcW w:type="dxa" w:w="1872"/>
            <w:vAlign w:val="center"/>
            <w:tcMar>
              <w:top w:w="140" w:type="dxa"/>
              <w:bottom w:w="140" w:type="dxa"/>
              <w:left w:w="140" w:type="dxa"/>
              <w:right w:w="140" w:type="dxa"/>
            </w:tcMar>
            <w:shd w:val="clear" w:color="auto" w:fill="F4F6F8"/>
          </w:tcPr>
          <w:p>
            <w:r>
              <w:rPr>
                <w:sz w:val="19"/>
              </w:rPr>
              <w:t>OSP Ground Field Technician Site Truck Roll</w:t>
            </w:r>
          </w:p>
        </w:tc>
        <w:tc>
          <w:tcPr>
            <w:tcW w:type="dxa" w:w="1872"/>
            <w:vAlign w:val="center"/>
            <w:tcMar>
              <w:top w:w="140" w:type="dxa"/>
              <w:bottom w:w="140" w:type="dxa"/>
              <w:left w:w="140" w:type="dxa"/>
              <w:right w:w="140" w:type="dxa"/>
            </w:tcMar>
            <w:shd w:val="clear" w:color="auto" w:fill="F4F6F8"/>
          </w:tcPr>
          <w:p>
            <w:r>
              <w:rPr>
                <w:sz w:val="19"/>
              </w:rPr>
              <w:t>$400</w:t>
            </w:r>
          </w:p>
        </w:tc>
        <w:tc>
          <w:tcPr>
            <w:tcW w:type="dxa" w:w="1872"/>
            <w:vAlign w:val="center"/>
            <w:tcMar>
              <w:top w:w="140" w:type="dxa"/>
              <w:bottom w:w="140" w:type="dxa"/>
              <w:left w:w="140" w:type="dxa"/>
              <w:right w:w="140" w:type="dxa"/>
            </w:tcMar>
            <w:shd w:val="clear" w:color="auto" w:fill="F4F6F8"/>
          </w:tcPr>
          <w:p>
            <w:r>
              <w:rPr>
                <w:sz w:val="19"/>
              </w:rPr>
              <w:t>$1,800</w:t>
            </w:r>
          </w:p>
        </w:tc>
      </w:tr>
      <w:tr>
        <w:trPr>
          <w:cantSplit/>
        </w:trPr>
        <w:tc>
          <w:tcPr>
            <w:tcW w:type="dxa" w:w="1872"/>
            <w:vAlign w:val="center"/>
            <w:tcMar>
              <w:top w:w="140" w:type="dxa"/>
              <w:bottom w:w="140" w:type="dxa"/>
              <w:left w:w="140" w:type="dxa"/>
              <w:right w:w="140" w:type="dxa"/>
            </w:tcMar>
          </w:tcPr>
          <w:p>
            <w:r>
              <w:rPr>
                <w:sz w:val="19"/>
              </w:rPr>
              <w:t>C3</w:t>
            </w:r>
          </w:p>
        </w:tc>
        <w:tc>
          <w:tcPr>
            <w:tcW w:type="dxa" w:w="1872"/>
            <w:vAlign w:val="center"/>
            <w:tcMar>
              <w:top w:w="140" w:type="dxa"/>
              <w:bottom w:w="140" w:type="dxa"/>
              <w:left w:w="140" w:type="dxa"/>
              <w:right w:w="140" w:type="dxa"/>
            </w:tcMar>
          </w:tcPr>
          <w:p>
            <w:r>
              <w:rPr>
                <w:sz w:val="19"/>
              </w:rPr>
              <w:t>Neighbor Dominance</w:t>
            </w:r>
          </w:p>
        </w:tc>
        <w:tc>
          <w:tcPr>
            <w:tcW w:type="dxa" w:w="1872"/>
            <w:vAlign w:val="center"/>
            <w:tcMar>
              <w:top w:w="140" w:type="dxa"/>
              <w:bottom w:w="140" w:type="dxa"/>
              <w:left w:w="140" w:type="dxa"/>
              <w:right w:w="140" w:type="dxa"/>
            </w:tcMar>
          </w:tcPr>
          <w:p>
            <w:r>
              <w:rPr>
                <w:sz w:val="19"/>
              </w:rPr>
              <w:t>Remote Centralized Software Script via NOC/SON</w:t>
            </w:r>
          </w:p>
        </w:tc>
        <w:tc>
          <w:tcPr>
            <w:tcW w:type="dxa" w:w="1872"/>
            <w:vAlign w:val="center"/>
            <w:tcMar>
              <w:top w:w="140" w:type="dxa"/>
              <w:bottom w:w="140" w:type="dxa"/>
              <w:left w:w="140" w:type="dxa"/>
              <w:right w:w="140" w:type="dxa"/>
            </w:tcMar>
          </w:tcPr>
          <w:p>
            <w:r>
              <w:rPr>
                <w:sz w:val="19"/>
              </w:rPr>
              <w:t>$50</w:t>
            </w:r>
          </w:p>
        </w:tc>
        <w:tc>
          <w:tcPr>
            <w:tcW w:type="dxa" w:w="1872"/>
            <w:vAlign w:val="center"/>
            <w:tcMar>
              <w:top w:w="140" w:type="dxa"/>
              <w:bottom w:w="140" w:type="dxa"/>
              <w:left w:w="140" w:type="dxa"/>
              <w:right w:w="140" w:type="dxa"/>
            </w:tcMar>
          </w:tcPr>
          <w:p>
            <w:r>
              <w:rPr>
                <w:sz w:val="19"/>
              </w:rPr>
              <w:t>$1,200</w:t>
            </w:r>
          </w:p>
        </w:tc>
      </w:tr>
      <w:tr>
        <w:trPr>
          <w:cantSplit/>
        </w:trPr>
        <w:tc>
          <w:tcPr>
            <w:tcW w:type="dxa" w:w="1872"/>
            <w:vAlign w:val="center"/>
            <w:tcMar>
              <w:top w:w="140" w:type="dxa"/>
              <w:bottom w:w="140" w:type="dxa"/>
              <w:left w:w="140" w:type="dxa"/>
              <w:right w:w="140" w:type="dxa"/>
            </w:tcMar>
            <w:shd w:val="clear" w:color="auto" w:fill="F4F6F8"/>
          </w:tcPr>
          <w:p>
            <w:r>
              <w:rPr>
                <w:sz w:val="19"/>
              </w:rPr>
              <w:t>C4</w:t>
            </w:r>
          </w:p>
        </w:tc>
        <w:tc>
          <w:tcPr>
            <w:tcW w:type="dxa" w:w="1872"/>
            <w:vAlign w:val="center"/>
            <w:tcMar>
              <w:top w:w="140" w:type="dxa"/>
              <w:bottom w:w="140" w:type="dxa"/>
              <w:left w:w="140" w:type="dxa"/>
              <w:right w:w="140" w:type="dxa"/>
            </w:tcMar>
            <w:shd w:val="clear" w:color="auto" w:fill="F4F6F8"/>
          </w:tcPr>
          <w:p>
            <w:r>
              <w:rPr>
                <w:sz w:val="19"/>
              </w:rPr>
              <w:t>Overlapping Coverage</w:t>
            </w:r>
          </w:p>
        </w:tc>
        <w:tc>
          <w:tcPr>
            <w:tcW w:type="dxa" w:w="1872"/>
            <w:vAlign w:val="center"/>
            <w:tcMar>
              <w:top w:w="140" w:type="dxa"/>
              <w:bottom w:w="140" w:type="dxa"/>
              <w:left w:w="140" w:type="dxa"/>
              <w:right w:w="140" w:type="dxa"/>
            </w:tcMar>
            <w:shd w:val="clear" w:color="auto" w:fill="F4F6F8"/>
          </w:tcPr>
          <w:p>
            <w:r>
              <w:rPr>
                <w:sz w:val="19"/>
              </w:rPr>
              <w:t>Remote Centralized Software Script via NOC/SON</w:t>
            </w:r>
          </w:p>
        </w:tc>
        <w:tc>
          <w:tcPr>
            <w:tcW w:type="dxa" w:w="1872"/>
            <w:vAlign w:val="center"/>
            <w:tcMar>
              <w:top w:w="140" w:type="dxa"/>
              <w:bottom w:w="140" w:type="dxa"/>
              <w:left w:w="140" w:type="dxa"/>
              <w:right w:w="140" w:type="dxa"/>
            </w:tcMar>
            <w:shd w:val="clear" w:color="auto" w:fill="F4F6F8"/>
          </w:tcPr>
          <w:p>
            <w:r>
              <w:rPr>
                <w:sz w:val="19"/>
              </w:rPr>
              <w:t>$50</w:t>
            </w:r>
          </w:p>
        </w:tc>
        <w:tc>
          <w:tcPr>
            <w:tcW w:type="dxa" w:w="1872"/>
            <w:vAlign w:val="center"/>
            <w:tcMar>
              <w:top w:w="140" w:type="dxa"/>
              <w:bottom w:w="140" w:type="dxa"/>
              <w:left w:w="140" w:type="dxa"/>
              <w:right w:w="140" w:type="dxa"/>
            </w:tcMar>
            <w:shd w:val="clear" w:color="auto" w:fill="F4F6F8"/>
          </w:tcPr>
          <w:p>
            <w:r>
              <w:rPr>
                <w:sz w:val="19"/>
              </w:rPr>
              <w:t>$1,800</w:t>
            </w:r>
          </w:p>
        </w:tc>
      </w:tr>
      <w:tr>
        <w:trPr>
          <w:cantSplit/>
        </w:trPr>
        <w:tc>
          <w:tcPr>
            <w:tcW w:type="dxa" w:w="1872"/>
            <w:vAlign w:val="center"/>
            <w:tcMar>
              <w:top w:w="140" w:type="dxa"/>
              <w:bottom w:w="140" w:type="dxa"/>
              <w:left w:w="140" w:type="dxa"/>
              <w:right w:w="140" w:type="dxa"/>
            </w:tcMar>
          </w:tcPr>
          <w:p>
            <w:r>
              <w:rPr>
                <w:sz w:val="19"/>
              </w:rPr>
              <w:t>C5</w:t>
            </w:r>
          </w:p>
        </w:tc>
        <w:tc>
          <w:tcPr>
            <w:tcW w:type="dxa" w:w="1872"/>
            <w:vAlign w:val="center"/>
            <w:tcMar>
              <w:top w:w="140" w:type="dxa"/>
              <w:bottom w:w="140" w:type="dxa"/>
              <w:left w:w="140" w:type="dxa"/>
              <w:right w:w="140" w:type="dxa"/>
            </w:tcMar>
          </w:tcPr>
          <w:p>
            <w:r>
              <w:rPr>
                <w:sz w:val="19"/>
              </w:rPr>
              <w:t>Frequent Handovers</w:t>
            </w:r>
          </w:p>
        </w:tc>
        <w:tc>
          <w:tcPr>
            <w:tcW w:type="dxa" w:w="1872"/>
            <w:vAlign w:val="center"/>
            <w:tcMar>
              <w:top w:w="140" w:type="dxa"/>
              <w:bottom w:w="140" w:type="dxa"/>
              <w:left w:w="140" w:type="dxa"/>
              <w:right w:w="140" w:type="dxa"/>
            </w:tcMar>
          </w:tcPr>
          <w:p>
            <w:r>
              <w:rPr>
                <w:sz w:val="19"/>
              </w:rPr>
              <w:t>Layer 3 Mobility Hysteresis Parameter Push</w:t>
            </w:r>
          </w:p>
        </w:tc>
        <w:tc>
          <w:tcPr>
            <w:tcW w:type="dxa" w:w="1872"/>
            <w:vAlign w:val="center"/>
            <w:tcMar>
              <w:top w:w="140" w:type="dxa"/>
              <w:bottom w:w="140" w:type="dxa"/>
              <w:left w:w="140" w:type="dxa"/>
              <w:right w:w="140" w:type="dxa"/>
            </w:tcMar>
          </w:tcPr>
          <w:p>
            <w:r>
              <w:rPr>
                <w:sz w:val="19"/>
              </w:rPr>
              <w:t>$50</w:t>
            </w:r>
          </w:p>
        </w:tc>
        <w:tc>
          <w:tcPr>
            <w:tcW w:type="dxa" w:w="1872"/>
            <w:vAlign w:val="center"/>
            <w:tcMar>
              <w:top w:w="140" w:type="dxa"/>
              <w:bottom w:w="140" w:type="dxa"/>
              <w:left w:w="140" w:type="dxa"/>
              <w:right w:w="140" w:type="dxa"/>
            </w:tcMar>
          </w:tcPr>
          <w:p>
            <w:r>
              <w:rPr>
                <w:sz w:val="19"/>
              </w:rPr>
              <w:t>$1,200</w:t>
            </w:r>
          </w:p>
        </w:tc>
      </w:tr>
      <w:tr>
        <w:trPr>
          <w:cantSplit/>
        </w:trPr>
        <w:tc>
          <w:tcPr>
            <w:tcW w:type="dxa" w:w="1872"/>
            <w:vAlign w:val="center"/>
            <w:tcMar>
              <w:top w:w="140" w:type="dxa"/>
              <w:bottom w:w="140" w:type="dxa"/>
              <w:left w:w="140" w:type="dxa"/>
              <w:right w:w="140" w:type="dxa"/>
            </w:tcMar>
            <w:shd w:val="clear" w:color="auto" w:fill="F4F6F8"/>
          </w:tcPr>
          <w:p>
            <w:r>
              <w:rPr>
                <w:sz w:val="19"/>
              </w:rPr>
              <w:t>C6</w:t>
            </w:r>
          </w:p>
        </w:tc>
        <w:tc>
          <w:tcPr>
            <w:tcW w:type="dxa" w:w="1872"/>
            <w:vAlign w:val="center"/>
            <w:tcMar>
              <w:top w:w="140" w:type="dxa"/>
              <w:bottom w:w="140" w:type="dxa"/>
              <w:left w:w="140" w:type="dxa"/>
              <w:right w:w="140" w:type="dxa"/>
            </w:tcMar>
            <w:shd w:val="clear" w:color="auto" w:fill="F4F6F8"/>
          </w:tcPr>
          <w:p>
            <w:r>
              <w:rPr>
                <w:sz w:val="19"/>
              </w:rPr>
              <w:t>PCI Mod 30 Conflict</w:t>
            </w:r>
          </w:p>
        </w:tc>
        <w:tc>
          <w:tcPr>
            <w:tcW w:type="dxa" w:w="1872"/>
            <w:vAlign w:val="center"/>
            <w:tcMar>
              <w:top w:w="140" w:type="dxa"/>
              <w:bottom w:w="140" w:type="dxa"/>
              <w:left w:w="140" w:type="dxa"/>
              <w:right w:w="140" w:type="dxa"/>
            </w:tcMar>
            <w:shd w:val="clear" w:color="auto" w:fill="F4F6F8"/>
          </w:tcPr>
          <w:p>
            <w:r>
              <w:rPr>
                <w:sz w:val="19"/>
              </w:rPr>
              <w:t>Automated Co-Channel Identity Realignment Script</w:t>
            </w:r>
          </w:p>
        </w:tc>
        <w:tc>
          <w:tcPr>
            <w:tcW w:type="dxa" w:w="1872"/>
            <w:vAlign w:val="center"/>
            <w:tcMar>
              <w:top w:w="140" w:type="dxa"/>
              <w:bottom w:w="140" w:type="dxa"/>
              <w:left w:w="140" w:type="dxa"/>
              <w:right w:w="140" w:type="dxa"/>
            </w:tcMar>
            <w:shd w:val="clear" w:color="auto" w:fill="F4F6F8"/>
          </w:tcPr>
          <w:p>
            <w:r>
              <w:rPr>
                <w:sz w:val="19"/>
              </w:rPr>
              <w:t>$100</w:t>
            </w:r>
          </w:p>
        </w:tc>
        <w:tc>
          <w:tcPr>
            <w:tcW w:type="dxa" w:w="1872"/>
            <w:vAlign w:val="center"/>
            <w:tcMar>
              <w:top w:w="140" w:type="dxa"/>
              <w:bottom w:w="140" w:type="dxa"/>
              <w:left w:w="140" w:type="dxa"/>
              <w:right w:w="140" w:type="dxa"/>
            </w:tcMar>
            <w:shd w:val="clear" w:color="auto" w:fill="F4F6F8"/>
          </w:tcPr>
          <w:p>
            <w:r>
              <w:rPr>
                <w:sz w:val="19"/>
              </w:rPr>
              <w:t>$2,400</w:t>
            </w:r>
          </w:p>
        </w:tc>
      </w:tr>
      <w:tr>
        <w:trPr>
          <w:cantSplit/>
        </w:trPr>
        <w:tc>
          <w:tcPr>
            <w:tcW w:type="dxa" w:w="1872"/>
            <w:vAlign w:val="center"/>
            <w:tcMar>
              <w:top w:w="140" w:type="dxa"/>
              <w:bottom w:w="140" w:type="dxa"/>
              <w:left w:w="140" w:type="dxa"/>
              <w:right w:w="140" w:type="dxa"/>
            </w:tcMar>
          </w:tcPr>
          <w:p>
            <w:r>
              <w:rPr>
                <w:sz w:val="19"/>
              </w:rPr>
              <w:t>C7</w:t>
            </w:r>
          </w:p>
        </w:tc>
        <w:tc>
          <w:tcPr>
            <w:tcW w:type="dxa" w:w="1872"/>
            <w:vAlign w:val="center"/>
            <w:tcMar>
              <w:top w:w="140" w:type="dxa"/>
              <w:bottom w:w="140" w:type="dxa"/>
              <w:left w:w="140" w:type="dxa"/>
              <w:right w:w="140" w:type="dxa"/>
            </w:tcMar>
          </w:tcPr>
          <w:p>
            <w:r>
              <w:rPr>
                <w:sz w:val="19"/>
              </w:rPr>
              <w:t>High Mobility Issues</w:t>
            </w:r>
          </w:p>
        </w:tc>
        <w:tc>
          <w:tcPr>
            <w:tcW w:type="dxa" w:w="1872"/>
            <w:vAlign w:val="center"/>
            <w:tcMar>
              <w:top w:w="140" w:type="dxa"/>
              <w:bottom w:w="140" w:type="dxa"/>
              <w:left w:w="140" w:type="dxa"/>
              <w:right w:w="140" w:type="dxa"/>
            </w:tcMar>
          </w:tcPr>
          <w:p>
            <w:r>
              <w:rPr>
                <w:sz w:val="19"/>
              </w:rPr>
              <w:t>Dynamic Corridor Doppler-Shift Software Profile</w:t>
            </w:r>
          </w:p>
        </w:tc>
        <w:tc>
          <w:tcPr>
            <w:tcW w:type="dxa" w:w="1872"/>
            <w:vAlign w:val="center"/>
            <w:tcMar>
              <w:top w:w="140" w:type="dxa"/>
              <w:bottom w:w="140" w:type="dxa"/>
              <w:left w:w="140" w:type="dxa"/>
              <w:right w:w="140" w:type="dxa"/>
            </w:tcMar>
          </w:tcPr>
          <w:p>
            <w:r>
              <w:rPr>
                <w:sz w:val="19"/>
              </w:rPr>
              <w:t>$50</w:t>
            </w:r>
          </w:p>
        </w:tc>
        <w:tc>
          <w:tcPr>
            <w:tcW w:type="dxa" w:w="1872"/>
            <w:vAlign w:val="center"/>
            <w:tcMar>
              <w:top w:w="140" w:type="dxa"/>
              <w:bottom w:w="140" w:type="dxa"/>
              <w:left w:w="140" w:type="dxa"/>
              <w:right w:w="140" w:type="dxa"/>
            </w:tcMar>
          </w:tcPr>
          <w:p>
            <w:r>
              <w:rPr>
                <w:sz w:val="19"/>
              </w:rPr>
              <w:t>$600</w:t>
            </w:r>
          </w:p>
        </w:tc>
      </w:tr>
      <w:tr>
        <w:trPr>
          <w:cantSplit/>
        </w:trPr>
        <w:tc>
          <w:tcPr>
            <w:tcW w:type="dxa" w:w="1872"/>
            <w:vAlign w:val="center"/>
            <w:tcMar>
              <w:top w:w="140" w:type="dxa"/>
              <w:bottom w:w="140" w:type="dxa"/>
              <w:left w:w="140" w:type="dxa"/>
              <w:right w:w="140" w:type="dxa"/>
            </w:tcMar>
            <w:shd w:val="clear" w:color="auto" w:fill="F4F6F8"/>
          </w:tcPr>
          <w:p>
            <w:r>
              <w:rPr>
                <w:sz w:val="19"/>
              </w:rPr>
              <w:t>C8</w:t>
            </w:r>
          </w:p>
        </w:tc>
        <w:tc>
          <w:tcPr>
            <w:tcW w:type="dxa" w:w="1872"/>
            <w:vAlign w:val="center"/>
            <w:tcMar>
              <w:top w:w="140" w:type="dxa"/>
              <w:bottom w:w="140" w:type="dxa"/>
              <w:left w:w="140" w:type="dxa"/>
              <w:right w:w="140" w:type="dxa"/>
            </w:tcMar>
            <w:shd w:val="clear" w:color="auto" w:fill="F4F6F8"/>
          </w:tcPr>
          <w:p>
            <w:r>
              <w:rPr>
                <w:sz w:val="19"/>
              </w:rPr>
              <w:t>Resource Starvation</w:t>
            </w:r>
          </w:p>
        </w:tc>
        <w:tc>
          <w:tcPr>
            <w:tcW w:type="dxa" w:w="1872"/>
            <w:vAlign w:val="center"/>
            <w:tcMar>
              <w:top w:w="140" w:type="dxa"/>
              <w:bottom w:w="140" w:type="dxa"/>
              <w:left w:w="140" w:type="dxa"/>
              <w:right w:w="140" w:type="dxa"/>
            </w:tcMar>
            <w:shd w:val="clear" w:color="auto" w:fill="F4F6F8"/>
          </w:tcPr>
          <w:p>
            <w:r>
              <w:rPr>
                <w:sz w:val="19"/>
              </w:rPr>
              <w:t>CapEx Engineering Capacity Validation Audit</w:t>
            </w:r>
          </w:p>
        </w:tc>
        <w:tc>
          <w:tcPr>
            <w:tcW w:type="dxa" w:w="1872"/>
            <w:vAlign w:val="center"/>
            <w:tcMar>
              <w:top w:w="140" w:type="dxa"/>
              <w:bottom w:w="140" w:type="dxa"/>
              <w:left w:w="140" w:type="dxa"/>
              <w:right w:w="140" w:type="dxa"/>
            </w:tcMar>
            <w:shd w:val="clear" w:color="auto" w:fill="F4F6F8"/>
          </w:tcPr>
          <w:p>
            <w:r>
              <w:rPr>
                <w:sz w:val="19"/>
              </w:rPr>
              <w:t>$1,500</w:t>
            </w:r>
          </w:p>
        </w:tc>
        <w:tc>
          <w:tcPr>
            <w:tcW w:type="dxa" w:w="1872"/>
            <w:vAlign w:val="center"/>
            <w:tcMar>
              <w:top w:w="140" w:type="dxa"/>
              <w:bottom w:w="140" w:type="dxa"/>
              <w:left w:w="140" w:type="dxa"/>
              <w:right w:w="140" w:type="dxa"/>
            </w:tcMar>
            <w:shd w:val="clear" w:color="auto" w:fill="F4F6F8"/>
          </w:tcPr>
          <w:p>
            <w:r>
              <w:rPr>
                <w:sz w:val="19"/>
              </w:rPr>
              <w:t>$3,600</w:t>
            </w:r>
          </w:p>
        </w:tc>
      </w:tr>
    </w:tbl>
    <w:p>
      <w:pPr>
        <w:spacing w:before="240"/>
      </w:pPr>
    </w:p>
    <w:p>
      <w:pPr>
        <w:spacing w:before="360" w:after="120"/>
      </w:pPr>
      <w:r>
        <w:rPr>
          <w:b/>
          <w:color w:val="0C2340"/>
          <w:sz w:val="32"/>
        </w:rPr>
        <w:t>8. Solid Evidence &amp; Verified Industry Sources</w:t>
      </w:r>
    </w:p>
    <w:p>
      <w:r>
        <w:t>The technical and financial baselines incorporated within this model are substantiated by the following verifiable industrial reports and technical operational assessments. Click the links below to view the original source verifications:</w:t>
      </w:r>
    </w:p>
    <w:p>
      <w:pPr>
        <w:pStyle w:val="ListNumber"/>
      </w:pPr>
      <w:r>
        <w:rPr>
          <w:b/>
        </w:rPr>
        <w:t xml:space="preserve">Technology Services Industry Association (TSIA) &amp; Asentria Network Operations. </w:t>
      </w:r>
      <w:r>
        <w:t xml:space="preserve">Industry operational assessments tracking corporate enterprise field dispatches show fully-loaded truck roll realities scaling toward $1,000 per dispatch when indirect scheduling, vehicle overhead, and failed first-time-fix metrics are audited. </w:t>
      </w:r>
      <w:r>
        <w:t xml:space="preserve">Source Verification: </w:t>
      </w:r>
      <w:hyperlink r:id="rId9">
        <w:r>
          <w:rPr>
            <w:color w:val="0056B3"/>
            <w:u w:val="single"/>
          </w:rPr>
          <w:t>Asentria Telecommunications Operations Report</w:t>
        </w:r>
      </w:hyperlink>
    </w:p>
    <w:p>
      <w:pPr>
        <w:pStyle w:val="ListNumber"/>
      </w:pPr>
      <w:r>
        <w:rPr>
          <w:b/>
        </w:rPr>
        <w:t xml:space="preserve">LumenServe Cellular Infrastructure Management Analytics. </w:t>
      </w:r>
      <w:r>
        <w:t xml:space="preserve">Field engineering contract benchmarks establish that specialized cell site maintenance mandating structural safety climbs and multi-man tower rigging crews routinely carry a starting operational floor of $2,500 per deployment. </w:t>
      </w:r>
      <w:r>
        <w:t xml:space="preserve">Source Verification: </w:t>
      </w:r>
      <w:hyperlink r:id="rId10">
        <w:r>
          <w:rPr>
            <w:color w:val="0056B3"/>
            <w:u w:val="single"/>
          </w:rPr>
          <w:t>LumenServe Tower Maintenance &amp; Assurance Standards</w:t>
        </w:r>
      </w:hyperlink>
    </w:p>
    <w:p>
      <w:pPr>
        <w:pStyle w:val="ListNumber"/>
      </w:pPr>
      <w:r>
        <w:rPr>
          <w:b/>
        </w:rPr>
        <w:t xml:space="preserve">Circles Global Postpaid Telecom Telemetry. </w:t>
      </w:r>
      <w:r>
        <w:t xml:space="preserve">Tier-1 carrier analysis evaluating subscriber life-cycle economics reveals that postpaid Subscriber Acquisition Costs (SAC) span $300 to $700 per user, emphasizing why unresolved network failures carry steep penalty values. </w:t>
      </w:r>
      <w:r>
        <w:t xml:space="preserve">Source Verification: </w:t>
      </w:r>
      <w:hyperlink r:id="rId11">
        <w:r>
          <w:rPr>
            <w:color w:val="0056B3"/>
            <w:u w:val="single"/>
          </w:rPr>
          <w:t>Circles Global SAC &amp; LTV Strategic Analysis</w:t>
        </w:r>
      </w:hyperlink>
    </w:p>
    <w:p>
      <w:pPr>
        <w:pStyle w:val="ListNumber"/>
      </w:pPr>
      <w:r>
        <w:rPr>
          <w:b/>
        </w:rPr>
        <w:t xml:space="preserve">Smarty Telecom Infrastructure &amp; Address Validation. </w:t>
      </w:r>
      <w:r>
        <w:t xml:space="preserve">Comprehensive cost accounting structures mapping outside plant truck roll logistics to geographic parameters within cellular routing blocks. </w:t>
      </w:r>
      <w:r>
        <w:t xml:space="preserve">Source Verification: </w:t>
      </w:r>
      <w:hyperlink r:id="rId12">
        <w:r>
          <w:rPr>
            <w:color w:val="0056B3"/>
            <w:u w:val="single"/>
          </w:rPr>
          <w:t>Smarty Corporate Field Service Dispatch Guide</w:t>
        </w:r>
      </w:hyperlink>
    </w:p>
    <w:p>
      <w:pPr>
        <w:pStyle w:val="ListNumber"/>
      </w:pPr>
      <w:r>
        <w:rPr>
          <w:b/>
        </w:rPr>
        <w:t xml:space="preserve">AT&amp;T Business Operations Risk Advisory. </w:t>
      </w:r>
      <w:r>
        <w:t xml:space="preserve">Corporate infrastructure continuity guidelines evaluating enterprise connectivity loss exposure outline active downtime penalties scaling from $9,000 to $23,750 per minute. </w:t>
      </w:r>
      <w:r>
        <w:t xml:space="preserve">Source Verification: </w:t>
      </w:r>
      <w:hyperlink r:id="rId13">
        <w:r>
          <w:rPr>
            <w:color w:val="0056B3"/>
            <w:u w:val="single"/>
          </w:rPr>
          <w:t>AT&amp;T Internet Continuity and Downtime Risk Analysis</w:t>
        </w:r>
      </w:hyperlink>
    </w:p>
    <w:p>
      <w:pPr>
        <w:pStyle w:val="ListNumber"/>
      </w:pPr>
      <w:r>
        <w:rPr>
          <w:b/>
        </w:rPr>
        <w:t xml:space="preserve">AT&amp;T Labs Research Virtualization Registry. </w:t>
      </w:r>
      <w:r>
        <w:t xml:space="preserve">Technical systems architecture documentation detailing the rules of the Control Loop Automation Management Platform (CLAMP) engine utilized for automated, closed-loop software self-healing policies. </w:t>
      </w:r>
      <w:r>
        <w:t xml:space="preserve">Source Verification: </w:t>
      </w:r>
      <w:hyperlink r:id="rId14">
        <w:r>
          <w:rPr>
            <w:color w:val="0056B3"/>
            <w:u w:val="single"/>
          </w:rPr>
          <w:t>AT&amp;T Labs CLAMP System Architecture White Paper</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entria.com/reduce-telecom-truck-roll-operation-costs-using-automation/" TargetMode="External"/><Relationship Id="rId10" Type="http://schemas.openxmlformats.org/officeDocument/2006/relationships/hyperlink" Target="https://www.lumenserve.com/blog/protect-your-bottom-line-our-assurance-warranty-costs-less-than-one-tower-climb/" TargetMode="External"/><Relationship Id="rId11" Type="http://schemas.openxmlformats.org/officeDocument/2006/relationships/hyperlink" Target="https://circles.co/in-the-loop/subscriber-acquisition-costs-customer-lifetime-value-real-strategies" TargetMode="External"/><Relationship Id="rId12" Type="http://schemas.openxmlformats.org/officeDocument/2006/relationships/hyperlink" Target="https://www.smarty.com/articles/truck-roll-costs" TargetMode="External"/><Relationship Id="rId13" Type="http://schemas.openxmlformats.org/officeDocument/2006/relationships/hyperlink" Target="https://www.business.att.com/learn/articles/importance-of-business-internet-continuity.html" TargetMode="External"/><Relationship Id="rId14" Type="http://schemas.openxmlformats.org/officeDocument/2006/relationships/hyperlink" Target="https://about.att.com/ecms/dam/sites/labs_research/content/publications/OS_Control_Loop_Automation_Management_Platfor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