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220"/>
        <w:jc w:val="center"/>
      </w:pPr>
      <w:r>
        <w:rPr>
          <w:b/>
          <w:color w:val="12355B"/>
          <w:sz w:val="36"/>
        </w:rPr>
        <w:t>Business Case</w:t>
      </w:r>
    </w:p>
    <w:p>
      <w:pPr>
        <w:spacing w:after="280"/>
        <w:jc w:val="center"/>
      </w:pPr>
      <w:r>
        <w:rPr>
          <w:color w:val="475569"/>
          <w:sz w:val="22"/>
        </w:rPr>
        <w:t>World Cup Alpint Wyllerløypa 2028</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Prosjekt</w:t>
            </w:r>
          </w:p>
        </w:tc>
        <w:tc>
          <w:tcPr>
            <w:shd w:fill="12355B"/>
          </w:tcPr>
          <w:p>
            <w:pPr>
              <w:spacing w:after="0"/>
            </w:pPr>
            <w:r>
              <w:rPr>
                <w:b/>
                <w:color w:val="FFFFFF"/>
                <w:sz w:val="18"/>
              </w:rPr>
              <w:t>World Cup Alpint Wyllerløypa 2028</w:t>
            </w:r>
          </w:p>
        </w:tc>
      </w:tr>
      <w:tr>
        <w:tc>
          <w:tcPr/>
          <w:p>
            <w:pPr>
              <w:spacing w:after="0"/>
            </w:pPr>
            <w:r>
              <w:rPr>
                <w:color w:val="1F2937"/>
                <w:sz w:val="18"/>
              </w:rPr>
              <w:t>Grener</w:t>
            </w:r>
          </w:p>
        </w:tc>
        <w:tc>
          <w:tcPr/>
          <w:p>
            <w:pPr>
              <w:spacing w:after="0"/>
            </w:pPr>
            <w:r>
              <w:rPr>
                <w:color w:val="1F2937"/>
                <w:sz w:val="18"/>
              </w:rPr>
              <w:t>Slalåm og parallellslalåm, kvinner og menn</w:t>
            </w:r>
          </w:p>
        </w:tc>
      </w:tr>
      <w:tr>
        <w:tc>
          <w:tcPr/>
          <w:p>
            <w:pPr>
              <w:spacing w:after="0"/>
            </w:pPr>
            <w:r>
              <w:rPr>
                <w:color w:val="1F2937"/>
                <w:sz w:val="18"/>
              </w:rPr>
              <w:t>Arena</w:t>
            </w:r>
          </w:p>
        </w:tc>
        <w:tc>
          <w:tcPr/>
          <w:p>
            <w:pPr>
              <w:spacing w:after="0"/>
            </w:pPr>
            <w:r>
              <w:rPr>
                <w:color w:val="1F2937"/>
                <w:sz w:val="18"/>
              </w:rPr>
              <w:t>Wyllerløypa / Oslo Vinterpark</w:t>
            </w:r>
          </w:p>
        </w:tc>
      </w:tr>
      <w:tr>
        <w:tc>
          <w:tcPr/>
          <w:p>
            <w:pPr>
              <w:spacing w:after="0"/>
            </w:pPr>
            <w:r>
              <w:rPr>
                <w:color w:val="1F2937"/>
                <w:sz w:val="18"/>
              </w:rPr>
              <w:t>Styringsmodell</w:t>
            </w:r>
          </w:p>
        </w:tc>
        <w:tc>
          <w:tcPr/>
          <w:p>
            <w:pPr>
              <w:spacing w:after="0"/>
            </w:pPr>
            <w:r>
              <w:rPr>
                <w:color w:val="1F2937"/>
                <w:sz w:val="18"/>
              </w:rPr>
              <w:t>PRINCE2-basert prosjektstyring</w:t>
            </w:r>
          </w:p>
        </w:tc>
      </w:tr>
      <w:tr>
        <w:tc>
          <w:tcPr/>
          <w:p>
            <w:pPr>
              <w:spacing w:after="0"/>
            </w:pPr>
            <w:r>
              <w:rPr>
                <w:color w:val="1F2937"/>
                <w:sz w:val="18"/>
              </w:rPr>
              <w:t>Status</w:t>
            </w:r>
          </w:p>
        </w:tc>
        <w:tc>
          <w:tcPr/>
          <w:p>
            <w:pPr>
              <w:spacing w:after="0"/>
            </w:pPr>
            <w:r>
              <w:rPr>
                <w:color w:val="1F2937"/>
                <w:sz w:val="18"/>
              </w:rPr>
              <w:t>Utkast v1.0</w:t>
            </w:r>
          </w:p>
        </w:tc>
      </w:tr>
    </w:tbl>
    <w:p>
      <w:pPr>
        <w:spacing w:after="120" w:line="276" w:lineRule="auto"/>
      </w:pPr>
      <w:r>
        <w:rPr>
          <w:sz w:val="21"/>
        </w:rPr>
        <w:t/>
      </w:r>
    </w:p>
    <w:p>
      <w:pPr>
        <w:spacing w:before="280" w:after="100"/>
        <w:keepNext/>
      </w:pPr>
      <w:r>
        <w:rPr>
          <w:b/>
          <w:color w:val="12355B"/>
          <w:sz w:val="26"/>
        </w:rPr>
        <w:t>Executive Summary</w:t>
      </w:r>
    </w:p>
    <w:p>
      <w:pPr>
        <w:spacing w:after="120" w:line="276" w:lineRule="auto"/>
      </w:pPr>
      <w:r>
        <w:rPr>
          <w:sz w:val="21"/>
        </w:rPr>
        <w:t>Formålet med prosjektet er å planlegge og gjennomføre et internasjonalt World Cup-arrangement i alpint i Wyllerløypa i 2028. Arrangementet skal levere konkurranser i slalåm og parallellslalåm for kvinner og menn, med høy sportslig kvalitet, sterk publikumsopplevelse, god TV-/medieproduksjon, sikker gjennomføring og positiv effekt for Oslo, norsk alpint og anlegget.</w:t>
      </w:r>
    </w:p>
    <w:p>
      <w:pPr>
        <w:spacing w:after="120" w:line="276" w:lineRule="auto"/>
      </w:pPr>
      <w:r>
        <w:rPr>
          <w:sz w:val="21"/>
        </w:rPr>
        <w:t>Oslo kommune ønsker å tydeliggjøre arrangementets sosiale profil. Business case-et inkluderer derfor en egen inkluderingsaktivitet i Tryvann i arrangementshelgen, der gratis alpintutstyr og heiskort stilles til rådighet for byens befolkning. Aktiviteten legges til en annen og snillere del av Skimore Oslo-anlegget enn World Cup-arenaen, slik at nye brukere kan prøve alpint i tryggere rammer.</w:t>
      </w:r>
    </w:p>
    <w:p>
      <w:pPr>
        <w:spacing w:after="120" w:line="276" w:lineRule="auto"/>
      </w:pPr>
      <w:r>
        <w:rPr>
          <w:sz w:val="21"/>
        </w:rPr>
        <w:t>Business case-et synliggjør også negative gevinster og ulemper som må styres aktivt, særlig støy, trafikk, lokal belastning og mulig press på anlegg og kollektiv-/transportløsninger i arrangementshelgen.</w:t>
      </w:r>
    </w:p>
    <w:p>
      <w:pPr>
        <w:spacing w:after="120" w:line="276" w:lineRule="auto"/>
      </w:pPr>
      <w:r>
        <w:rPr>
          <w:sz w:val="21"/>
        </w:rPr>
        <w:t>Business case-et anbefaler at prosjektet videreføres til neste planleggingsfase, forutsatt at kritiske forutsetninger for FIS-godkjenning, arena, finansiering, operativ kapasitet og bærekraft bekreftes.</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Kritisk forutsetning</w:t>
            </w:r>
          </w:p>
        </w:tc>
        <w:tc>
          <w:tcPr>
            <w:shd w:fill="12355B"/>
          </w:tcPr>
          <w:p>
            <w:pPr>
              <w:spacing w:after="0"/>
            </w:pPr>
            <w:r>
              <w:rPr>
                <w:b/>
                <w:color w:val="FFFFFF"/>
                <w:sz w:val="18"/>
              </w:rPr>
              <w:t>Må være avklart</w:t>
            </w:r>
          </w:p>
        </w:tc>
      </w:tr>
      <w:tr>
        <w:tc>
          <w:tcPr/>
          <w:p>
            <w:pPr>
              <w:spacing w:after="0"/>
            </w:pPr>
            <w:r>
              <w:rPr>
                <w:color w:val="1F2937"/>
                <w:sz w:val="18"/>
              </w:rPr>
              <w:t>FIS-/sportslig godkjenning</w:t>
            </w:r>
          </w:p>
        </w:tc>
        <w:tc>
          <w:tcPr/>
          <w:p>
            <w:pPr>
              <w:spacing w:after="0"/>
            </w:pPr>
            <w:r>
              <w:rPr>
                <w:color w:val="1F2937"/>
                <w:sz w:val="18"/>
              </w:rPr>
              <w:t>Konkurranseformat, kalenderplass og tekniske krav</w:t>
            </w:r>
          </w:p>
        </w:tc>
      </w:tr>
      <w:tr>
        <w:tc>
          <w:tcPr/>
          <w:p>
            <w:pPr>
              <w:spacing w:after="0"/>
            </w:pPr>
            <w:r>
              <w:rPr>
                <w:color w:val="1F2937"/>
                <w:sz w:val="18"/>
              </w:rPr>
              <w:t>Arenaegnethet</w:t>
            </w:r>
          </w:p>
        </w:tc>
        <w:tc>
          <w:tcPr/>
          <w:p>
            <w:pPr>
              <w:spacing w:after="0"/>
            </w:pPr>
            <w:r>
              <w:rPr>
                <w:color w:val="1F2937"/>
                <w:sz w:val="18"/>
              </w:rPr>
              <w:t>Løype, snøproduksjon, sikkerhet, logistikk og publikumsarealer</w:t>
            </w:r>
          </w:p>
        </w:tc>
      </w:tr>
      <w:tr>
        <w:tc>
          <w:tcPr/>
          <w:p>
            <w:pPr>
              <w:spacing w:after="0"/>
            </w:pPr>
            <w:r>
              <w:rPr>
                <w:color w:val="1F2937"/>
                <w:sz w:val="18"/>
              </w:rPr>
              <w:t>Sosial inkluderingsaktivitet</w:t>
            </w:r>
          </w:p>
        </w:tc>
        <w:tc>
          <w:tcPr/>
          <w:p>
            <w:pPr>
              <w:spacing w:after="0"/>
            </w:pPr>
            <w:r>
              <w:rPr>
                <w:color w:val="1F2937"/>
                <w:sz w:val="18"/>
              </w:rPr>
              <w:t>Avtale om gratis utstyr, heiskort, bemanning, sikkerhet og kapasitet i Tryvann i arrangementshelgen</w:t>
            </w:r>
          </w:p>
        </w:tc>
      </w:tr>
      <w:tr>
        <w:tc>
          <w:tcPr/>
          <w:p>
            <w:pPr>
              <w:spacing w:after="0"/>
            </w:pPr>
            <w:r>
              <w:rPr>
                <w:color w:val="1F2937"/>
                <w:sz w:val="18"/>
              </w:rPr>
              <w:t>Finansiering</w:t>
            </w:r>
          </w:p>
        </w:tc>
        <w:tc>
          <w:tcPr/>
          <w:p>
            <w:pPr>
              <w:spacing w:after="0"/>
            </w:pPr>
            <w:r>
              <w:rPr>
                <w:color w:val="1F2937"/>
                <w:sz w:val="18"/>
              </w:rPr>
              <w:t>Sponsorinntekter, offentlige bidrag, billettinntekter, sosial inkluderingsfinansiering og egenfinansiering</w:t>
            </w:r>
          </w:p>
        </w:tc>
      </w:tr>
      <w:tr>
        <w:tc>
          <w:tcPr/>
          <w:p>
            <w:pPr>
              <w:spacing w:after="0"/>
            </w:pPr>
            <w:r>
              <w:rPr>
                <w:color w:val="1F2937"/>
                <w:sz w:val="18"/>
              </w:rPr>
              <w:t>Operativ kapasitet</w:t>
            </w:r>
          </w:p>
        </w:tc>
        <w:tc>
          <w:tcPr/>
          <w:p>
            <w:pPr>
              <w:spacing w:after="0"/>
            </w:pPr>
            <w:r>
              <w:rPr>
                <w:color w:val="1F2937"/>
                <w:sz w:val="18"/>
              </w:rPr>
              <w:t>Prosjektorganisasjon, frivillige, leverandører og beredskap</w:t>
            </w:r>
          </w:p>
        </w:tc>
      </w:tr>
      <w:tr>
        <w:tc>
          <w:tcPr/>
          <w:p>
            <w:pPr>
              <w:spacing w:after="0"/>
            </w:pPr>
            <w:r>
              <w:rPr>
                <w:color w:val="1F2937"/>
                <w:sz w:val="18"/>
              </w:rPr>
              <w:t>Bærekraft</w:t>
            </w:r>
          </w:p>
        </w:tc>
        <w:tc>
          <w:tcPr/>
          <w:p>
            <w:pPr>
              <w:spacing w:after="0"/>
            </w:pPr>
            <w:r>
              <w:rPr>
                <w:color w:val="1F2937"/>
                <w:sz w:val="18"/>
              </w:rPr>
              <w:t>Transport, avfall, energi, innkjøp, sosial inkludering og lokal verdiskaping</w:t>
            </w:r>
          </w:p>
        </w:tc>
      </w:tr>
    </w:tbl>
    <w:p>
      <w:pPr>
        <w:spacing w:after="120" w:line="276" w:lineRule="auto"/>
      </w:pPr>
      <w:r>
        <w:rPr>
          <w:sz w:val="21"/>
        </w:rPr>
        <w:t/>
      </w:r>
    </w:p>
    <w:p>
      <w:pPr>
        <w:spacing w:before="280" w:after="100"/>
        <w:keepNext/>
      </w:pPr>
      <w:r>
        <w:rPr>
          <w:b/>
          <w:color w:val="12355B"/>
          <w:sz w:val="26"/>
        </w:rPr>
        <w:t>Bakgrunn og behov</w:t>
      </w:r>
    </w:p>
    <w:p>
      <w:pPr>
        <w:spacing w:after="120" w:line="276" w:lineRule="auto"/>
      </w:pPr>
      <w:r>
        <w:rPr>
          <w:sz w:val="21"/>
        </w:rPr>
        <w:t>Wyllerløypa er en sentral alpin arena i Oslo-regionen med potensial for å løfte alpinsporten nær et stort bypublikum. Et World Cup-arrangement kan gi internasjonal synlighet, rekruttering til skiidretten, økt bruk av anlegget og styrket posisjon for Oslo som vinter- og arrangementsby.</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Behov</w:t>
            </w:r>
          </w:p>
        </w:tc>
        <w:tc>
          <w:tcPr>
            <w:shd w:fill="12355B"/>
          </w:tcPr>
          <w:p>
            <w:pPr>
              <w:spacing w:after="0"/>
            </w:pPr>
            <w:r>
              <w:rPr>
                <w:b/>
                <w:color w:val="FFFFFF"/>
                <w:sz w:val="18"/>
              </w:rPr>
              <w:t>Forklaring</w:t>
            </w:r>
          </w:p>
        </w:tc>
      </w:tr>
      <w:tr>
        <w:tc>
          <w:tcPr/>
          <w:p>
            <w:pPr>
              <w:spacing w:after="0"/>
            </w:pPr>
            <w:r>
              <w:rPr>
                <w:color w:val="1F2937"/>
                <w:sz w:val="18"/>
              </w:rPr>
              <w:t>Sportslig utvikling</w:t>
            </w:r>
          </w:p>
        </w:tc>
        <w:tc>
          <w:tcPr/>
          <w:p>
            <w:pPr>
              <w:spacing w:after="0"/>
            </w:pPr>
            <w:r>
              <w:rPr>
                <w:color w:val="1F2937"/>
                <w:sz w:val="18"/>
              </w:rPr>
              <w:t>Gi norske og internasjonale utøvere en profilert konkurransearena</w:t>
            </w:r>
          </w:p>
        </w:tc>
      </w:tr>
      <w:tr>
        <w:tc>
          <w:tcPr/>
          <w:p>
            <w:pPr>
              <w:spacing w:after="0"/>
            </w:pPr>
            <w:r>
              <w:rPr>
                <w:color w:val="1F2937"/>
                <w:sz w:val="18"/>
              </w:rPr>
              <w:t>Publikumsutvikling</w:t>
            </w:r>
          </w:p>
        </w:tc>
        <w:tc>
          <w:tcPr/>
          <w:p>
            <w:pPr>
              <w:spacing w:after="0"/>
            </w:pPr>
            <w:r>
              <w:rPr>
                <w:color w:val="1F2937"/>
                <w:sz w:val="18"/>
              </w:rPr>
              <w:t>Gjøre alpint mer tilgjengelig for et urbant publikum</w:t>
            </w:r>
          </w:p>
        </w:tc>
      </w:tr>
      <w:tr>
        <w:tc>
          <w:tcPr/>
          <w:p>
            <w:pPr>
              <w:spacing w:after="0"/>
            </w:pPr>
            <w:r>
              <w:rPr>
                <w:color w:val="1F2937"/>
                <w:sz w:val="18"/>
              </w:rPr>
              <w:t>Sosial inkludering</w:t>
            </w:r>
          </w:p>
        </w:tc>
        <w:tc>
          <w:tcPr/>
          <w:p>
            <w:pPr>
              <w:spacing w:after="0"/>
            </w:pPr>
            <w:r>
              <w:rPr>
                <w:color w:val="1F2937"/>
                <w:sz w:val="18"/>
              </w:rPr>
              <w:t>Senke terskelen for deltakelse ved å tilby gratis utstyr og heiskort i Tryvann for byens befolkning i arrangementshelgen</w:t>
            </w:r>
          </w:p>
        </w:tc>
      </w:tr>
      <w:tr>
        <w:tc>
          <w:tcPr/>
          <w:p>
            <w:pPr>
              <w:spacing w:after="0"/>
            </w:pPr>
            <w:r>
              <w:rPr>
                <w:color w:val="1F2937"/>
                <w:sz w:val="18"/>
              </w:rPr>
              <w:t>Kommersiell verdi</w:t>
            </w:r>
          </w:p>
        </w:tc>
        <w:tc>
          <w:tcPr/>
          <w:p>
            <w:pPr>
              <w:spacing w:after="0"/>
            </w:pPr>
            <w:r>
              <w:rPr>
                <w:color w:val="1F2937"/>
                <w:sz w:val="18"/>
              </w:rPr>
              <w:t>Skape sponsor-, medie- og hospitality-muligheter</w:t>
            </w:r>
          </w:p>
        </w:tc>
      </w:tr>
      <w:tr>
        <w:tc>
          <w:tcPr/>
          <w:p>
            <w:pPr>
              <w:spacing w:after="0"/>
            </w:pPr>
            <w:r>
              <w:rPr>
                <w:color w:val="1F2937"/>
                <w:sz w:val="18"/>
              </w:rPr>
              <w:t>Lokal verdiskaping</w:t>
            </w:r>
          </w:p>
        </w:tc>
        <w:tc>
          <w:tcPr/>
          <w:p>
            <w:pPr>
              <w:spacing w:after="0"/>
            </w:pPr>
            <w:r>
              <w:rPr>
                <w:color w:val="1F2937"/>
                <w:sz w:val="18"/>
              </w:rPr>
              <w:t>Økt aktivitet for anlegg, leverandører, idrettslag og frivillighet</w:t>
            </w:r>
          </w:p>
        </w:tc>
      </w:tr>
      <w:tr>
        <w:tc>
          <w:tcPr/>
          <w:p>
            <w:pPr>
              <w:spacing w:after="0"/>
            </w:pPr>
            <w:r>
              <w:rPr>
                <w:color w:val="1F2937"/>
                <w:sz w:val="18"/>
              </w:rPr>
              <w:t>Omdømme</w:t>
            </w:r>
          </w:p>
        </w:tc>
        <w:tc>
          <w:tcPr/>
          <w:p>
            <w:pPr>
              <w:spacing w:after="0"/>
            </w:pPr>
            <w:r>
              <w:rPr>
                <w:color w:val="1F2937"/>
                <w:sz w:val="18"/>
              </w:rPr>
              <w:t>Profilere Oslo og Wyllerløypa som attraktiv vinterarena med tydelig sosial profil</w:t>
            </w:r>
          </w:p>
        </w:tc>
      </w:tr>
    </w:tbl>
    <w:p>
      <w:pPr>
        <w:spacing w:after="120" w:line="276" w:lineRule="auto"/>
      </w:pPr>
      <w:r>
        <w:rPr>
          <w:sz w:val="21"/>
        </w:rPr>
        <w:t/>
      </w:r>
    </w:p>
    <w:p>
      <w:pPr>
        <w:spacing w:before="280" w:after="100"/>
        <w:keepNext/>
      </w:pPr>
      <w:r>
        <w:rPr>
          <w:b/>
          <w:color w:val="12355B"/>
          <w:sz w:val="26"/>
        </w:rPr>
        <w:t>Strategisk samsvar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Strategisk mål</w:t>
            </w:r>
          </w:p>
        </w:tc>
        <w:tc>
          <w:tcPr>
            <w:shd w:fill="12355B"/>
          </w:tcPr>
          <w:p>
            <w:pPr>
              <w:spacing w:after="0"/>
            </w:pPr>
            <w:r>
              <w:rPr>
                <w:b/>
                <w:color w:val="FFFFFF"/>
                <w:sz w:val="18"/>
              </w:rPr>
              <w:t>Hvordan prosjektet bidrar</w:t>
            </w:r>
          </w:p>
        </w:tc>
      </w:tr>
      <w:tr>
        <w:tc>
          <w:tcPr/>
          <w:p>
            <w:pPr>
              <w:spacing w:after="0"/>
            </w:pPr>
            <w:r>
              <w:rPr>
                <w:color w:val="1F2937"/>
                <w:sz w:val="18"/>
              </w:rPr>
              <w:t>Styrke norsk alpint</w:t>
            </w:r>
          </w:p>
        </w:tc>
        <w:tc>
          <w:tcPr/>
          <w:p>
            <w:pPr>
              <w:spacing w:after="0"/>
            </w:pPr>
            <w:r>
              <w:rPr>
                <w:color w:val="1F2937"/>
                <w:sz w:val="18"/>
              </w:rPr>
              <w:t>Internasjonal konkurranse på hjemmebane</w:t>
            </w:r>
          </w:p>
        </w:tc>
      </w:tr>
      <w:tr>
        <w:tc>
          <w:tcPr/>
          <w:p>
            <w:pPr>
              <w:spacing w:after="0"/>
            </w:pPr>
            <w:r>
              <w:rPr>
                <w:color w:val="1F2937"/>
                <w:sz w:val="18"/>
              </w:rPr>
              <w:t>Øke rekruttering</w:t>
            </w:r>
          </w:p>
        </w:tc>
        <w:tc>
          <w:tcPr/>
          <w:p>
            <w:pPr>
              <w:spacing w:after="0"/>
            </w:pPr>
            <w:r>
              <w:rPr>
                <w:color w:val="1F2937"/>
                <w:sz w:val="18"/>
              </w:rPr>
              <w:t>Synlighet, lokale klubbtiltak og publikumsaktivering</w:t>
            </w:r>
          </w:p>
        </w:tc>
      </w:tr>
      <w:tr>
        <w:tc>
          <w:tcPr/>
          <w:p>
            <w:pPr>
              <w:spacing w:after="0"/>
            </w:pPr>
            <w:r>
              <w:rPr>
                <w:color w:val="1F2937"/>
                <w:sz w:val="18"/>
              </w:rPr>
              <w:t>Tilgjengeliggjøre alpint</w:t>
            </w:r>
          </w:p>
        </w:tc>
        <w:tc>
          <w:tcPr/>
          <w:p>
            <w:pPr>
              <w:spacing w:after="0"/>
            </w:pPr>
            <w:r>
              <w:rPr>
                <w:color w:val="1F2937"/>
                <w:sz w:val="18"/>
              </w:rPr>
              <w:t>Gratis utstyr og heiskort i Tryvann gir flere innbyggere mulighet til å prøve alpint uavhengig av økonomiske barrierer</w:t>
            </w:r>
          </w:p>
        </w:tc>
      </w:tr>
      <w:tr>
        <w:tc>
          <w:tcPr/>
          <w:p>
            <w:pPr>
              <w:spacing w:after="0"/>
            </w:pPr>
            <w:r>
              <w:rPr>
                <w:color w:val="1F2937"/>
                <w:sz w:val="18"/>
              </w:rPr>
              <w:t>Utvikle Oslo som vinterby</w:t>
            </w:r>
          </w:p>
        </w:tc>
        <w:tc>
          <w:tcPr/>
          <w:p>
            <w:pPr>
              <w:spacing w:after="0"/>
            </w:pPr>
            <w:r>
              <w:rPr>
                <w:color w:val="1F2937"/>
                <w:sz w:val="18"/>
              </w:rPr>
              <w:t>Internasjonal medieeksponering og publikumsarrangement</w:t>
            </w:r>
          </w:p>
        </w:tc>
      </w:tr>
      <w:tr>
        <w:tc>
          <w:tcPr/>
          <w:p>
            <w:pPr>
              <w:spacing w:after="0"/>
            </w:pPr>
            <w:r>
              <w:rPr>
                <w:color w:val="1F2937"/>
                <w:sz w:val="18"/>
              </w:rPr>
              <w:t>Skape bærekraftige arrangementer</w:t>
            </w:r>
          </w:p>
        </w:tc>
        <w:tc>
          <w:tcPr/>
          <w:p>
            <w:pPr>
              <w:spacing w:after="0"/>
            </w:pPr>
            <w:r>
              <w:rPr>
                <w:color w:val="1F2937"/>
                <w:sz w:val="18"/>
              </w:rPr>
              <w:t>Kollektivtransport, avfallsstyring, ansvarlige innkjøp og sosial inkludering</w:t>
            </w:r>
          </w:p>
        </w:tc>
      </w:tr>
      <w:tr>
        <w:tc>
          <w:tcPr/>
          <w:p>
            <w:pPr>
              <w:spacing w:after="0"/>
            </w:pPr>
            <w:r>
              <w:rPr>
                <w:color w:val="1F2937"/>
                <w:sz w:val="18"/>
              </w:rPr>
              <w:t>Øke kommersiell attraktivitet</w:t>
            </w:r>
          </w:p>
        </w:tc>
        <w:tc>
          <w:tcPr/>
          <w:p>
            <w:pPr>
              <w:spacing w:after="0"/>
            </w:pPr>
            <w:r>
              <w:rPr>
                <w:color w:val="1F2937"/>
                <w:sz w:val="18"/>
              </w:rPr>
              <w:t>Sponsorflater, TV-produkt, hospitality og merkevarebygging med tydelig samfunnsprofil</w:t>
            </w:r>
          </w:p>
        </w:tc>
      </w:tr>
    </w:tbl>
    <w:p>
      <w:pPr>
        <w:spacing w:after="120" w:line="276" w:lineRule="auto"/>
      </w:pPr>
      <w:r>
        <w:rPr>
          <w:sz w:val="21"/>
        </w:rPr>
        <w:t/>
      </w:r>
    </w:p>
    <w:p>
      <w:pPr>
        <w:spacing w:before="280" w:after="100"/>
        <w:keepNext/>
      </w:pPr>
      <w:r>
        <w:rPr>
          <w:b/>
          <w:color w:val="12355B"/>
          <w:sz w:val="26"/>
        </w:rPr>
        <w:t>Alternativer</w:t>
      </w:r>
    </w:p>
    <w:p>
      <w:pPr>
        <w:spacing w:after="120" w:line="276" w:lineRule="auto"/>
      </w:pPr>
      <w:r>
        <w:rPr>
          <w:sz w:val="21"/>
        </w:rPr>
        <w:t>PRINCE2 krever at business case-et vurderer reelle alternativer, inkludert å ikke gjennomføre prosjektet.</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gridCol w:w="2200"/>
      </w:tblGrid>
      <w:tr>
        <w:tc>
          <w:tcPr>
            <w:shd w:fill="12355B"/>
          </w:tcPr>
          <w:p>
            <w:pPr>
              <w:spacing w:after="0"/>
            </w:pPr>
            <w:r>
              <w:rPr>
                <w:b/>
                <w:color w:val="FFFFFF"/>
                <w:sz w:val="18"/>
              </w:rPr>
              <w:t>Alternativ</w:t>
            </w:r>
          </w:p>
        </w:tc>
        <w:tc>
          <w:tcPr>
            <w:shd w:fill="12355B"/>
          </w:tcPr>
          <w:p>
            <w:pPr>
              <w:spacing w:after="0"/>
            </w:pPr>
            <w:r>
              <w:rPr>
                <w:b/>
                <w:color w:val="FFFFFF"/>
                <w:sz w:val="18"/>
              </w:rPr>
              <w:t>Beskrivelse</w:t>
            </w:r>
          </w:p>
        </w:tc>
        <w:tc>
          <w:tcPr>
            <w:shd w:fill="12355B"/>
          </w:tcPr>
          <w:p>
            <w:pPr>
              <w:spacing w:after="0"/>
            </w:pPr>
            <w:r>
              <w:rPr>
                <w:b/>
                <w:color w:val="FFFFFF"/>
                <w:sz w:val="18"/>
              </w:rPr>
              <w:t>Fordeler</w:t>
            </w:r>
          </w:p>
        </w:tc>
        <w:tc>
          <w:tcPr>
            <w:shd w:fill="12355B"/>
          </w:tcPr>
          <w:p>
            <w:pPr>
              <w:spacing w:after="0"/>
            </w:pPr>
            <w:r>
              <w:rPr>
                <w:b/>
                <w:color w:val="FFFFFF"/>
                <w:sz w:val="18"/>
              </w:rPr>
              <w:t>Ulemper</w:t>
            </w:r>
          </w:p>
        </w:tc>
        <w:tc>
          <w:tcPr>
            <w:shd w:fill="12355B"/>
          </w:tcPr>
          <w:p>
            <w:pPr>
              <w:spacing w:after="0"/>
            </w:pPr>
            <w:r>
              <w:rPr>
                <w:b/>
                <w:color w:val="FFFFFF"/>
                <w:sz w:val="18"/>
              </w:rPr>
              <w:t>Foreløpig vurdering</w:t>
            </w:r>
          </w:p>
        </w:tc>
      </w:tr>
      <w:tr>
        <w:tc>
          <w:tcPr/>
          <w:p>
            <w:pPr>
              <w:spacing w:after="0"/>
            </w:pPr>
            <w:r>
              <w:rPr>
                <w:color w:val="1F2937"/>
                <w:sz w:val="18"/>
              </w:rPr>
              <w:t>0. Ikke gjennomføre</w:t>
            </w:r>
          </w:p>
        </w:tc>
        <w:tc>
          <w:tcPr/>
          <w:p>
            <w:pPr>
              <w:spacing w:after="0"/>
            </w:pPr>
            <w:r>
              <w:rPr>
                <w:color w:val="1F2937"/>
                <w:sz w:val="18"/>
              </w:rPr>
              <w:t>Ingen World Cup i Wyller 2028</w:t>
            </w:r>
          </w:p>
        </w:tc>
        <w:tc>
          <w:tcPr/>
          <w:p>
            <w:pPr>
              <w:spacing w:after="0"/>
            </w:pPr>
            <w:r>
              <w:rPr>
                <w:color w:val="1F2937"/>
                <w:sz w:val="18"/>
              </w:rPr>
              <w:t>Ingen økonomisk risiko</w:t>
            </w:r>
          </w:p>
        </w:tc>
        <w:tc>
          <w:tcPr/>
          <w:p>
            <w:pPr>
              <w:spacing w:after="0"/>
            </w:pPr>
            <w:r>
              <w:rPr>
                <w:color w:val="1F2937"/>
                <w:sz w:val="18"/>
              </w:rPr>
              <w:t>Tapt sportslig, kommersiell og lokal effekt</w:t>
            </w:r>
          </w:p>
        </w:tc>
        <w:tc>
          <w:tcPr/>
          <w:p>
            <w:pPr>
              <w:spacing w:after="0"/>
            </w:pPr>
            <w:r>
              <w:rPr>
                <w:color w:val="1F2937"/>
                <w:sz w:val="18"/>
              </w:rPr>
              <w:t>Ikke anbefalt hvis finansiering og arena er realistisk</w:t>
            </w:r>
          </w:p>
        </w:tc>
      </w:tr>
      <w:tr>
        <w:tc>
          <w:tcPr/>
          <w:p>
            <w:pPr>
              <w:spacing w:after="0"/>
            </w:pPr>
            <w:r>
              <w:rPr>
                <w:color w:val="1F2937"/>
                <w:sz w:val="18"/>
              </w:rPr>
              <w:t>1. Full World Cup</w:t>
            </w:r>
          </w:p>
        </w:tc>
        <w:tc>
          <w:tcPr/>
          <w:p>
            <w:pPr>
              <w:spacing w:after="0"/>
            </w:pPr>
            <w:r>
              <w:rPr>
                <w:color w:val="1F2937"/>
                <w:sz w:val="18"/>
              </w:rPr>
              <w:t>Slalåm og parallellslalåm for kvinner og menn</w:t>
            </w:r>
          </w:p>
        </w:tc>
        <w:tc>
          <w:tcPr/>
          <w:p>
            <w:pPr>
              <w:spacing w:after="0"/>
            </w:pPr>
            <w:r>
              <w:rPr>
                <w:color w:val="1F2937"/>
                <w:sz w:val="18"/>
              </w:rPr>
              <w:t>Maksimal sportslig og kommersiell verdi</w:t>
            </w:r>
          </w:p>
        </w:tc>
        <w:tc>
          <w:tcPr/>
          <w:p>
            <w:pPr>
              <w:spacing w:after="0"/>
            </w:pPr>
            <w:r>
              <w:rPr>
                <w:color w:val="1F2937"/>
                <w:sz w:val="18"/>
              </w:rPr>
              <w:t>Høy kompleksitet og kostnad</w:t>
            </w:r>
          </w:p>
        </w:tc>
        <w:tc>
          <w:tcPr/>
          <w:p>
            <w:pPr>
              <w:spacing w:after="0"/>
            </w:pPr>
            <w:r>
              <w:rPr>
                <w:color w:val="1F2937"/>
                <w:sz w:val="18"/>
              </w:rPr>
              <w:t>Anbefalt hovedalternativ</w:t>
            </w:r>
          </w:p>
        </w:tc>
      </w:tr>
      <w:tr>
        <w:tc>
          <w:tcPr/>
          <w:p>
            <w:pPr>
              <w:spacing w:after="0"/>
            </w:pPr>
            <w:r>
              <w:rPr>
                <w:color w:val="1F2937"/>
                <w:sz w:val="18"/>
              </w:rPr>
              <w:t>2. Redusert format</w:t>
            </w:r>
          </w:p>
        </w:tc>
        <w:tc>
          <w:tcPr/>
          <w:p>
            <w:pPr>
              <w:spacing w:after="0"/>
            </w:pPr>
            <w:r>
              <w:rPr>
                <w:color w:val="1F2937"/>
                <w:sz w:val="18"/>
              </w:rPr>
              <w:t>Færre konkurranser eller én disiplin</w:t>
            </w:r>
          </w:p>
        </w:tc>
        <w:tc>
          <w:tcPr/>
          <w:p>
            <w:pPr>
              <w:spacing w:after="0"/>
            </w:pPr>
            <w:r>
              <w:rPr>
                <w:color w:val="1F2937"/>
                <w:sz w:val="18"/>
              </w:rPr>
              <w:t>Lavere kostnad og risiko</w:t>
            </w:r>
          </w:p>
        </w:tc>
        <w:tc>
          <w:tcPr/>
          <w:p>
            <w:pPr>
              <w:spacing w:after="0"/>
            </w:pPr>
            <w:r>
              <w:rPr>
                <w:color w:val="1F2937"/>
                <w:sz w:val="18"/>
              </w:rPr>
              <w:t>Mindre TV-/publikumsverdi</w:t>
            </w:r>
          </w:p>
        </w:tc>
        <w:tc>
          <w:tcPr/>
          <w:p>
            <w:pPr>
              <w:spacing w:after="0"/>
            </w:pPr>
            <w:r>
              <w:rPr>
                <w:color w:val="1F2937"/>
                <w:sz w:val="18"/>
              </w:rPr>
              <w:t>Reservealternativ</w:t>
            </w:r>
          </w:p>
        </w:tc>
      </w:tr>
      <w:tr>
        <w:tc>
          <w:tcPr/>
          <w:p>
            <w:pPr>
              <w:spacing w:after="0"/>
            </w:pPr>
            <w:r>
              <w:rPr>
                <w:color w:val="1F2937"/>
                <w:sz w:val="18"/>
              </w:rPr>
              <w:t>3. Test event / lavere nivå</w:t>
            </w:r>
          </w:p>
        </w:tc>
        <w:tc>
          <w:tcPr/>
          <w:p>
            <w:pPr>
              <w:spacing w:after="0"/>
            </w:pPr>
            <w:r>
              <w:rPr>
                <w:color w:val="1F2937"/>
                <w:sz w:val="18"/>
              </w:rPr>
              <w:t>Europacup/NM-lignende format først</w:t>
            </w:r>
          </w:p>
        </w:tc>
        <w:tc>
          <w:tcPr/>
          <w:p>
            <w:pPr>
              <w:spacing w:after="0"/>
            </w:pPr>
            <w:r>
              <w:rPr>
                <w:color w:val="1F2937"/>
                <w:sz w:val="18"/>
              </w:rPr>
              <w:t>Lavere risiko, læring før World Cup</w:t>
            </w:r>
          </w:p>
        </w:tc>
        <w:tc>
          <w:tcPr/>
          <w:p>
            <w:pPr>
              <w:spacing w:after="0"/>
            </w:pPr>
            <w:r>
              <w:rPr>
                <w:color w:val="1F2937"/>
                <w:sz w:val="18"/>
              </w:rPr>
              <w:t>Lavere internasjonal verdi</w:t>
            </w:r>
          </w:p>
        </w:tc>
        <w:tc>
          <w:tcPr/>
          <w:p>
            <w:pPr>
              <w:spacing w:after="0"/>
            </w:pPr>
            <w:r>
              <w:rPr>
                <w:color w:val="1F2937"/>
                <w:sz w:val="18"/>
              </w:rPr>
              <w:t>Aktuelt som forberedende tiltak</w:t>
            </w:r>
          </w:p>
        </w:tc>
      </w:tr>
    </w:tbl>
    <w:p>
      <w:pPr>
        <w:spacing w:after="120" w:line="276" w:lineRule="auto"/>
      </w:pPr>
      <w:r>
        <w:rPr>
          <w:sz w:val="21"/>
        </w:rPr>
        <w:t/>
      </w:r>
    </w:p>
    <w:p>
      <w:pPr>
        <w:spacing w:before="280" w:after="100"/>
        <w:keepNext/>
      </w:pPr>
      <w:r>
        <w:rPr>
          <w:b/>
          <w:color w:val="12355B"/>
          <w:sz w:val="26"/>
        </w:rPr>
        <w:t>Forventede gevinster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tblGrid>
      <w:tr>
        <w:tc>
          <w:tcPr>
            <w:shd w:fill="12355B"/>
          </w:tcPr>
          <w:p>
            <w:pPr>
              <w:spacing w:after="0"/>
            </w:pPr>
            <w:r>
              <w:rPr>
                <w:b/>
                <w:color w:val="FFFFFF"/>
                <w:sz w:val="18"/>
              </w:rPr>
              <w:t>Gevinst</w:t>
            </w:r>
          </w:p>
        </w:tc>
        <w:tc>
          <w:tcPr>
            <w:shd w:fill="12355B"/>
          </w:tcPr>
          <w:p>
            <w:pPr>
              <w:spacing w:after="0"/>
            </w:pPr>
            <w:r>
              <w:rPr>
                <w:b/>
                <w:color w:val="FFFFFF"/>
                <w:sz w:val="18"/>
              </w:rPr>
              <w:t>Måleindikator</w:t>
            </w:r>
          </w:p>
        </w:tc>
        <w:tc>
          <w:tcPr>
            <w:shd w:fill="12355B"/>
          </w:tcPr>
          <w:p>
            <w:pPr>
              <w:spacing w:after="0"/>
            </w:pPr>
            <w:r>
              <w:rPr>
                <w:b/>
                <w:color w:val="FFFFFF"/>
                <w:sz w:val="18"/>
              </w:rPr>
              <w:t>Måltall / ambisjon</w:t>
            </w:r>
          </w:p>
        </w:tc>
        <w:tc>
          <w:tcPr>
            <w:shd w:fill="12355B"/>
          </w:tcPr>
          <w:p>
            <w:pPr>
              <w:spacing w:after="0"/>
            </w:pPr>
            <w:r>
              <w:rPr>
                <w:b/>
                <w:color w:val="FFFFFF"/>
                <w:sz w:val="18"/>
              </w:rPr>
              <w:t>Gevinsteier</w:t>
            </w:r>
          </w:p>
        </w:tc>
      </w:tr>
      <w:tr>
        <w:tc>
          <w:tcPr/>
          <w:p>
            <w:pPr>
              <w:spacing w:after="0"/>
            </w:pPr>
            <w:r>
              <w:rPr>
                <w:color w:val="1F2937"/>
                <w:sz w:val="18"/>
              </w:rPr>
              <w:t>Internasjonal synlighet</w:t>
            </w:r>
          </w:p>
        </w:tc>
        <w:tc>
          <w:tcPr/>
          <w:p>
            <w:pPr>
              <w:spacing w:after="0"/>
            </w:pPr>
            <w:r>
              <w:rPr>
                <w:color w:val="1F2937"/>
                <w:sz w:val="18"/>
              </w:rPr>
              <w:t>TV-seere, presseoppslag, SoMe-reach</w:t>
            </w:r>
          </w:p>
        </w:tc>
        <w:tc>
          <w:tcPr/>
          <w:p>
            <w:pPr>
              <w:spacing w:after="0"/>
            </w:pPr>
            <w:r>
              <w:rPr>
                <w:color w:val="1F2937"/>
                <w:sz w:val="18"/>
              </w:rPr>
              <w:t>Defineres etter rettighets-/medieplan</w:t>
            </w:r>
          </w:p>
        </w:tc>
        <w:tc>
          <w:tcPr/>
          <w:p>
            <w:pPr>
              <w:spacing w:after="0"/>
            </w:pPr>
            <w:r>
              <w:rPr>
                <w:color w:val="1F2937"/>
                <w:sz w:val="18"/>
              </w:rPr>
              <w:t>Kommunikasjon / arrangør</w:t>
            </w:r>
          </w:p>
        </w:tc>
      </w:tr>
      <w:tr>
        <w:tc>
          <w:tcPr/>
          <w:p>
            <w:pPr>
              <w:spacing w:after="0"/>
            </w:pPr>
            <w:r>
              <w:rPr>
                <w:color w:val="1F2937"/>
                <w:sz w:val="18"/>
              </w:rPr>
              <w:t>Økt publikum</w:t>
            </w:r>
          </w:p>
        </w:tc>
        <w:tc>
          <w:tcPr/>
          <w:p>
            <w:pPr>
              <w:spacing w:after="0"/>
            </w:pPr>
            <w:r>
              <w:rPr>
                <w:color w:val="1F2937"/>
                <w:sz w:val="18"/>
              </w:rPr>
              <w:t>Billettsalg / kapasitet</w:t>
            </w:r>
          </w:p>
        </w:tc>
        <w:tc>
          <w:tcPr/>
          <w:p>
            <w:pPr>
              <w:spacing w:after="0"/>
            </w:pPr>
            <w:r>
              <w:rPr>
                <w:color w:val="1F2937"/>
                <w:sz w:val="18"/>
              </w:rPr>
              <w:t>90-100 % av publikumsbudsjett</w:t>
            </w:r>
          </w:p>
        </w:tc>
        <w:tc>
          <w:tcPr/>
          <w:p>
            <w:pPr>
              <w:spacing w:after="0"/>
            </w:pPr>
            <w:r>
              <w:rPr>
                <w:color w:val="1F2937"/>
                <w:sz w:val="18"/>
              </w:rPr>
              <w:t>Publikum / marked</w:t>
            </w:r>
          </w:p>
        </w:tc>
      </w:tr>
      <w:tr>
        <w:tc>
          <w:tcPr/>
          <w:p>
            <w:pPr>
              <w:spacing w:after="0"/>
            </w:pPr>
            <w:r>
              <w:rPr>
                <w:color w:val="1F2937"/>
                <w:sz w:val="18"/>
              </w:rPr>
              <w:t>Økte sponsorinntekter</w:t>
            </w:r>
          </w:p>
        </w:tc>
        <w:tc>
          <w:tcPr/>
          <w:p>
            <w:pPr>
              <w:spacing w:after="0"/>
            </w:pPr>
            <w:r>
              <w:rPr>
                <w:color w:val="1F2937"/>
                <w:sz w:val="18"/>
              </w:rPr>
              <w:t>Signerte sponsoravtaler</w:t>
            </w:r>
          </w:p>
        </w:tc>
        <w:tc>
          <w:tcPr/>
          <w:p>
            <w:pPr>
              <w:spacing w:after="0"/>
            </w:pPr>
            <w:r>
              <w:rPr>
                <w:color w:val="1F2937"/>
                <w:sz w:val="18"/>
              </w:rPr>
              <w:t>100 % av sponsorbudsjett innen T-6 mnd</w:t>
            </w:r>
          </w:p>
        </w:tc>
        <w:tc>
          <w:tcPr/>
          <w:p>
            <w:pPr>
              <w:spacing w:after="0"/>
            </w:pPr>
            <w:r>
              <w:rPr>
                <w:color w:val="1F2937"/>
                <w:sz w:val="18"/>
              </w:rPr>
              <w:t>Kommersiell leder</w:t>
            </w:r>
          </w:p>
        </w:tc>
      </w:tr>
      <w:tr>
        <w:tc>
          <w:tcPr/>
          <w:p>
            <w:pPr>
              <w:spacing w:after="0"/>
            </w:pPr>
            <w:r>
              <w:rPr>
                <w:color w:val="1F2937"/>
                <w:sz w:val="18"/>
              </w:rPr>
              <w:t>Tilgjengeliggjøring av alpint</w:t>
            </w:r>
          </w:p>
        </w:tc>
        <w:tc>
          <w:tcPr/>
          <w:p>
            <w:pPr>
              <w:spacing w:after="0"/>
            </w:pPr>
            <w:r>
              <w:rPr>
                <w:color w:val="1F2937"/>
                <w:sz w:val="18"/>
              </w:rPr>
              <w:t>Antall deltakere i Tryvann-aktivitet, utlån av utstyr, gratis heiskort brukt, deltakertilfredshet</w:t>
            </w:r>
          </w:p>
        </w:tc>
        <w:tc>
          <w:tcPr/>
          <w:p>
            <w:pPr>
              <w:spacing w:after="0"/>
            </w:pPr>
            <w:r>
              <w:rPr>
                <w:color w:val="1F2937"/>
                <w:sz w:val="18"/>
              </w:rPr>
              <w:t>Måltall settes etter kapasitets- og sikkerhetsvurdering</w:t>
            </w:r>
          </w:p>
        </w:tc>
        <w:tc>
          <w:tcPr/>
          <w:p>
            <w:pPr>
              <w:spacing w:after="0"/>
            </w:pPr>
            <w:r>
              <w:rPr>
                <w:color w:val="1F2937"/>
                <w:sz w:val="18"/>
              </w:rPr>
              <w:t>Oslo kommune / Skimore / sosial aktivitetsleder</w:t>
            </w:r>
          </w:p>
        </w:tc>
      </w:tr>
      <w:tr>
        <w:tc>
          <w:tcPr/>
          <w:p>
            <w:pPr>
              <w:spacing w:after="0"/>
            </w:pPr>
            <w:r>
              <w:rPr>
                <w:color w:val="1F2937"/>
                <w:sz w:val="18"/>
              </w:rPr>
              <w:t>Lokal rekruttering</w:t>
            </w:r>
          </w:p>
        </w:tc>
        <w:tc>
          <w:tcPr/>
          <w:p>
            <w:pPr>
              <w:spacing w:after="0"/>
            </w:pPr>
            <w:r>
              <w:rPr>
                <w:color w:val="1F2937"/>
                <w:sz w:val="18"/>
              </w:rPr>
              <w:t>Klubbaktiviteter, barn/unge-tiltak</w:t>
            </w:r>
          </w:p>
        </w:tc>
        <w:tc>
          <w:tcPr/>
          <w:p>
            <w:pPr>
              <w:spacing w:after="0"/>
            </w:pPr>
            <w:r>
              <w:rPr>
                <w:color w:val="1F2937"/>
                <w:sz w:val="18"/>
              </w:rPr>
              <w:t>Min. 3-5 lokale aktiveringer</w:t>
            </w:r>
          </w:p>
        </w:tc>
        <w:tc>
          <w:tcPr/>
          <w:p>
            <w:pPr>
              <w:spacing w:after="0"/>
            </w:pPr>
            <w:r>
              <w:rPr>
                <w:color w:val="1F2937"/>
                <w:sz w:val="18"/>
              </w:rPr>
              <w:t>Lokal idrett</w:t>
            </w:r>
          </w:p>
        </w:tc>
      </w:tr>
      <w:tr>
        <w:tc>
          <w:tcPr/>
          <w:p>
            <w:pPr>
              <w:spacing w:after="0"/>
            </w:pPr>
            <w:r>
              <w:rPr>
                <w:color w:val="1F2937"/>
                <w:sz w:val="18"/>
              </w:rPr>
              <w:t>Styrket anleggsprofil</w:t>
            </w:r>
          </w:p>
        </w:tc>
        <w:tc>
          <w:tcPr/>
          <w:p>
            <w:pPr>
              <w:spacing w:after="0"/>
            </w:pPr>
            <w:r>
              <w:rPr>
                <w:color w:val="1F2937"/>
                <w:sz w:val="18"/>
              </w:rPr>
              <w:t>Besøkstall etter arrangement</w:t>
            </w:r>
          </w:p>
        </w:tc>
        <w:tc>
          <w:tcPr/>
          <w:p>
            <w:pPr>
              <w:spacing w:after="0"/>
            </w:pPr>
            <w:r>
              <w:rPr>
                <w:color w:val="1F2937"/>
                <w:sz w:val="18"/>
              </w:rPr>
              <w:t>Økning mot baseline</w:t>
            </w:r>
          </w:p>
        </w:tc>
        <w:tc>
          <w:tcPr/>
          <w:p>
            <w:pPr>
              <w:spacing w:after="0"/>
            </w:pPr>
            <w:r>
              <w:rPr>
                <w:color w:val="1F2937"/>
                <w:sz w:val="18"/>
              </w:rPr>
              <w:t>Arena / Skimore</w:t>
            </w:r>
          </w:p>
        </w:tc>
      </w:tr>
      <w:tr>
        <w:tc>
          <w:tcPr/>
          <w:p>
            <w:pPr>
              <w:spacing w:after="0"/>
            </w:pPr>
            <w:r>
              <w:rPr>
                <w:color w:val="1F2937"/>
                <w:sz w:val="18"/>
              </w:rPr>
              <w:t>Frivillig kompetanse</w:t>
            </w:r>
          </w:p>
        </w:tc>
        <w:tc>
          <w:tcPr/>
          <w:p>
            <w:pPr>
              <w:spacing w:after="0"/>
            </w:pPr>
            <w:r>
              <w:rPr>
                <w:color w:val="1F2937"/>
                <w:sz w:val="18"/>
              </w:rPr>
              <w:t>Antall frivillige og tilfredshet</w:t>
            </w:r>
          </w:p>
        </w:tc>
        <w:tc>
          <w:tcPr/>
          <w:p>
            <w:pPr>
              <w:spacing w:after="0"/>
            </w:pPr>
            <w:r>
              <w:rPr>
                <w:color w:val="1F2937"/>
                <w:sz w:val="18"/>
              </w:rPr>
              <w:t>100 % kritiske vakter dekket, &gt;4,2/5 tilfredshet</w:t>
            </w:r>
          </w:p>
        </w:tc>
        <w:tc>
          <w:tcPr/>
          <w:p>
            <w:pPr>
              <w:spacing w:after="0"/>
            </w:pPr>
            <w:r>
              <w:rPr>
                <w:color w:val="1F2937"/>
                <w:sz w:val="18"/>
              </w:rPr>
              <w:t>Frivilligleder</w:t>
            </w:r>
          </w:p>
        </w:tc>
      </w:tr>
      <w:tr>
        <w:tc>
          <w:tcPr/>
          <w:p>
            <w:pPr>
              <w:spacing w:after="0"/>
            </w:pPr>
            <w:r>
              <w:rPr>
                <w:color w:val="1F2937"/>
                <w:sz w:val="18"/>
              </w:rPr>
              <w:t>Bærekraftig gjennomføring</w:t>
            </w:r>
          </w:p>
        </w:tc>
        <w:tc>
          <w:tcPr/>
          <w:p>
            <w:pPr>
              <w:spacing w:after="0"/>
            </w:pPr>
            <w:r>
              <w:rPr>
                <w:color w:val="1F2937"/>
                <w:sz w:val="18"/>
              </w:rPr>
              <w:t>Transportandel, sorteringsgrad</w:t>
            </w:r>
          </w:p>
        </w:tc>
        <w:tc>
          <w:tcPr/>
          <w:p>
            <w:pPr>
              <w:spacing w:after="0"/>
            </w:pPr>
            <w:r>
              <w:rPr>
                <w:color w:val="1F2937"/>
                <w:sz w:val="18"/>
              </w:rPr>
              <w:t>&gt;60 % kollektiv/shuttle, &gt;70 % sortering</w:t>
            </w:r>
          </w:p>
        </w:tc>
        <w:tc>
          <w:tcPr/>
          <w:p>
            <w:pPr>
              <w:spacing w:after="0"/>
            </w:pPr>
            <w:r>
              <w:rPr>
                <w:color w:val="1F2937"/>
                <w:sz w:val="18"/>
              </w:rPr>
              <w:t>Bærekraftsansvarlig</w:t>
            </w:r>
          </w:p>
        </w:tc>
      </w:tr>
    </w:tbl>
    <w:p>
      <w:pPr>
        <w:spacing w:after="120" w:line="276" w:lineRule="auto"/>
      </w:pPr>
      <w:r>
        <w:rPr>
          <w:sz w:val="21"/>
        </w:rPr>
        <w:t/>
      </w:r>
    </w:p>
    <w:p>
      <w:pPr>
        <w:spacing w:before="280" w:after="100"/>
        <w:keepNext/>
      </w:pPr>
      <w:r>
        <w:rPr>
          <w:b/>
          <w:color w:val="12355B"/>
          <w:sz w:val="26"/>
        </w:rPr>
        <w:t>Negative gevinster og ulemper</w:t>
      </w:r>
    </w:p>
    <w:p>
      <w:pPr>
        <w:spacing w:after="120" w:line="276" w:lineRule="auto"/>
      </w:pPr>
      <w:r>
        <w:rPr>
          <w:sz w:val="21"/>
        </w:rPr>
        <w:t>PRINCE2-business case bør også synliggjøre negative gevinster eller uønskede effekter. Disse skal ikke bare behandles som risiko, men følges opp med eiere, tiltak og akseptkriterier.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tblGrid>
      <w:tr>
        <w:tc>
          <w:tcPr>
            <w:shd w:fill="12355B"/>
          </w:tcPr>
          <w:p>
            <w:pPr>
              <w:spacing w:after="0"/>
            </w:pPr>
            <w:r>
              <w:rPr>
                <w:b/>
                <w:color w:val="FFFFFF"/>
                <w:sz w:val="18"/>
              </w:rPr>
              <w:t>Negativ gevinst / ulempe</w:t>
            </w:r>
          </w:p>
        </w:tc>
        <w:tc>
          <w:tcPr>
            <w:shd w:fill="12355B"/>
          </w:tcPr>
          <w:p>
            <w:pPr>
              <w:spacing w:after="0"/>
            </w:pPr>
            <w:r>
              <w:rPr>
                <w:b/>
                <w:color w:val="FFFFFF"/>
                <w:sz w:val="18"/>
              </w:rPr>
              <w:t>Mulig konsekvens</w:t>
            </w:r>
          </w:p>
        </w:tc>
        <w:tc>
          <w:tcPr>
            <w:shd w:fill="12355B"/>
          </w:tcPr>
          <w:p>
            <w:pPr>
              <w:spacing w:after="0"/>
            </w:pPr>
            <w:r>
              <w:rPr>
                <w:b/>
                <w:color w:val="FFFFFF"/>
                <w:sz w:val="18"/>
              </w:rPr>
              <w:t>Tiltak / styring</w:t>
            </w:r>
          </w:p>
        </w:tc>
        <w:tc>
          <w:tcPr>
            <w:shd w:fill="12355B"/>
          </w:tcPr>
          <w:p>
            <w:pPr>
              <w:spacing w:after="0"/>
            </w:pPr>
            <w:r>
              <w:rPr>
                <w:b/>
                <w:color w:val="FFFFFF"/>
                <w:sz w:val="18"/>
              </w:rPr>
              <w:t>Eier</w:t>
            </w:r>
          </w:p>
        </w:tc>
      </w:tr>
      <w:tr>
        <w:tc>
          <w:tcPr/>
          <w:p>
            <w:pPr>
              <w:spacing w:after="0"/>
            </w:pPr>
            <w:r>
              <w:rPr>
                <w:color w:val="1F2937"/>
                <w:sz w:val="18"/>
              </w:rPr>
              <w:t>Støy i arrangementshelgen</w:t>
            </w:r>
          </w:p>
        </w:tc>
        <w:tc>
          <w:tcPr/>
          <w:p>
            <w:pPr>
              <w:spacing w:after="0"/>
            </w:pPr>
            <w:r>
              <w:rPr>
                <w:color w:val="1F2937"/>
                <w:sz w:val="18"/>
              </w:rPr>
              <w:t>Belastning for naboer, lokalmiljø og brukere av marka/anlegget</w:t>
            </w:r>
          </w:p>
        </w:tc>
        <w:tc>
          <w:tcPr/>
          <w:p>
            <w:pPr>
              <w:spacing w:after="0"/>
            </w:pPr>
            <w:r>
              <w:rPr>
                <w:color w:val="1F2937"/>
                <w:sz w:val="18"/>
              </w:rPr>
              <w:t>Naboinformasjon, tidsvinduer, lydgrenser, kontaktpunkt og avvikslogg</w:t>
            </w:r>
          </w:p>
        </w:tc>
        <w:tc>
          <w:tcPr/>
          <w:p>
            <w:pPr>
              <w:spacing w:after="0"/>
            </w:pPr>
            <w:r>
              <w:rPr>
                <w:color w:val="1F2937"/>
                <w:sz w:val="18"/>
              </w:rPr>
              <w:t>Kommunikasjon / arena</w:t>
            </w:r>
          </w:p>
        </w:tc>
      </w:tr>
      <w:tr>
        <w:tc>
          <w:tcPr/>
          <w:p>
            <w:pPr>
              <w:spacing w:after="0"/>
            </w:pPr>
            <w:r>
              <w:rPr>
                <w:color w:val="1F2937"/>
                <w:sz w:val="18"/>
              </w:rPr>
              <w:t>Trafikk og kø</w:t>
            </w:r>
          </w:p>
        </w:tc>
        <w:tc>
          <w:tcPr/>
          <w:p>
            <w:pPr>
              <w:spacing w:after="0"/>
            </w:pPr>
            <w:r>
              <w:rPr>
                <w:color w:val="1F2937"/>
                <w:sz w:val="18"/>
              </w:rPr>
              <w:t>Forsinkelser, lokal frustrasjon, økte utslipp og redusert publikumsopplevelse</w:t>
            </w:r>
          </w:p>
        </w:tc>
        <w:tc>
          <w:tcPr/>
          <w:p>
            <w:pPr>
              <w:spacing w:after="0"/>
            </w:pPr>
            <w:r>
              <w:rPr>
                <w:color w:val="1F2937"/>
                <w:sz w:val="18"/>
              </w:rPr>
              <w:t>Kollektiv-/shuttleprioritering, trafikkplan, begrenset privatbil, tydelig publikumsinfo</w:t>
            </w:r>
          </w:p>
        </w:tc>
        <w:tc>
          <w:tcPr/>
          <w:p>
            <w:pPr>
              <w:spacing w:after="0"/>
            </w:pPr>
            <w:r>
              <w:rPr>
                <w:color w:val="1F2937"/>
                <w:sz w:val="18"/>
              </w:rPr>
              <w:t>Publikum / transport</w:t>
            </w:r>
          </w:p>
        </w:tc>
      </w:tr>
      <w:tr>
        <w:tc>
          <w:tcPr/>
          <w:p>
            <w:pPr>
              <w:spacing w:after="0"/>
            </w:pPr>
            <w:r>
              <w:rPr>
                <w:color w:val="1F2937"/>
                <w:sz w:val="18"/>
              </w:rPr>
              <w:t>Press på Skimore Oslo-anlegget</w:t>
            </w:r>
          </w:p>
        </w:tc>
        <w:tc>
          <w:tcPr/>
          <w:p>
            <w:pPr>
              <w:spacing w:after="0"/>
            </w:pPr>
            <w:r>
              <w:rPr>
                <w:color w:val="1F2937"/>
                <w:sz w:val="18"/>
              </w:rPr>
              <w:t>Kapasitetskonflikt mellom World Cup, ordinære brukere og Tryvann-aktiviteten</w:t>
            </w:r>
          </w:p>
        </w:tc>
        <w:tc>
          <w:tcPr/>
          <w:p>
            <w:pPr>
              <w:spacing w:after="0"/>
            </w:pPr>
            <w:r>
              <w:rPr>
                <w:color w:val="1F2937"/>
                <w:sz w:val="18"/>
              </w:rPr>
              <w:t>Separat kapasitetsplan for Wyller og Tryvann, bemanning, sonedeling og sanntidsstyring</w:t>
            </w:r>
          </w:p>
        </w:tc>
        <w:tc>
          <w:tcPr/>
          <w:p>
            <w:pPr>
              <w:spacing w:after="0"/>
            </w:pPr>
            <w:r>
              <w:rPr>
                <w:color w:val="1F2937"/>
                <w:sz w:val="18"/>
              </w:rPr>
              <w:t>Arena / Skimore</w:t>
            </w:r>
          </w:p>
        </w:tc>
      </w:tr>
      <w:tr>
        <w:tc>
          <w:tcPr/>
          <w:p>
            <w:pPr>
              <w:spacing w:after="0"/>
            </w:pPr>
            <w:r>
              <w:rPr>
                <w:color w:val="1F2937"/>
                <w:sz w:val="18"/>
              </w:rPr>
              <w:t>Sikkerhets- og bemanningspress i Tryvann-aktiviteten</w:t>
            </w:r>
          </w:p>
        </w:tc>
        <w:tc>
          <w:tcPr/>
          <w:p>
            <w:pPr>
              <w:spacing w:after="0"/>
            </w:pPr>
            <w:r>
              <w:rPr>
                <w:color w:val="1F2937"/>
                <w:sz w:val="18"/>
              </w:rPr>
              <w:t>Nye brukere og gratis aktivitet kan gi større behov for instruksjon, utstyrskontroll og vertskap</w:t>
            </w:r>
          </w:p>
        </w:tc>
        <w:tc>
          <w:tcPr/>
          <w:p>
            <w:pPr>
              <w:spacing w:after="0"/>
            </w:pPr>
            <w:r>
              <w:rPr>
                <w:color w:val="1F2937"/>
                <w:sz w:val="18"/>
              </w:rPr>
              <w:t>Eget sikkerhetsopplegg, utlånslogistikk, vertskap, instruktører og tydelige ferdighetsområder</w:t>
            </w:r>
          </w:p>
        </w:tc>
        <w:tc>
          <w:tcPr/>
          <w:p>
            <w:pPr>
              <w:spacing w:after="0"/>
            </w:pPr>
            <w:r>
              <w:rPr>
                <w:color w:val="1F2937"/>
                <w:sz w:val="18"/>
              </w:rPr>
              <w:t>Sosial aktivitetsleder / Skimore</w:t>
            </w:r>
          </w:p>
        </w:tc>
      </w:tr>
      <w:tr>
        <w:tc>
          <w:tcPr/>
          <w:p>
            <w:pPr>
              <w:spacing w:after="0"/>
            </w:pPr>
            <w:r>
              <w:rPr>
                <w:color w:val="1F2937"/>
                <w:sz w:val="18"/>
              </w:rPr>
              <w:t>Omdømmerisiko ved utilstrekkelig sosial aktivitet</w:t>
            </w:r>
          </w:p>
        </w:tc>
        <w:tc>
          <w:tcPr/>
          <w:p>
            <w:pPr>
              <w:spacing w:after="0"/>
            </w:pPr>
            <w:r>
              <w:rPr>
                <w:color w:val="1F2937"/>
                <w:sz w:val="18"/>
              </w:rPr>
              <w:t>Kritikk dersom tilbudet oppleves utilgjengelig, dårlig informert eller for lavt dimensjonert</w:t>
            </w:r>
          </w:p>
        </w:tc>
        <w:tc>
          <w:tcPr/>
          <w:p>
            <w:pPr>
              <w:spacing w:after="0"/>
            </w:pPr>
            <w:r>
              <w:rPr>
                <w:color w:val="1F2937"/>
                <w:sz w:val="18"/>
              </w:rPr>
              <w:t>Tydelige kriterier, forhåndsinformasjon, enkel påmelding/drop-in-modell og etterrapportering</w:t>
            </w:r>
          </w:p>
        </w:tc>
        <w:tc>
          <w:tcPr/>
          <w:p>
            <w:pPr>
              <w:spacing w:after="0"/>
            </w:pPr>
            <w:r>
              <w:rPr>
                <w:color w:val="1F2937"/>
                <w:sz w:val="18"/>
              </w:rPr>
              <w:t>Oslo kommune / kommunikasjon</w:t>
            </w:r>
          </w:p>
        </w:tc>
      </w:tr>
    </w:tbl>
    <w:p>
      <w:pPr>
        <w:spacing w:after="120" w:line="276" w:lineRule="auto"/>
      </w:pPr>
      <w:r>
        <w:rPr>
          <w:sz w:val="21"/>
        </w:rPr>
        <w:t/>
      </w:r>
    </w:p>
    <w:p>
      <w:pPr>
        <w:spacing w:before="280" w:after="100"/>
        <w:keepNext/>
      </w:pPr>
      <w:r>
        <w:rPr>
          <w:b/>
          <w:color w:val="12355B"/>
          <w:sz w:val="26"/>
        </w:rPr>
        <w:t>Kostnadskategorier</w:t>
      </w:r>
    </w:p>
    <w:p>
      <w:pPr>
        <w:spacing w:after="120" w:line="276" w:lineRule="auto"/>
      </w:pPr>
      <w:r>
        <w:rPr>
          <w:sz w:val="21"/>
        </w:rPr>
        <w:t>Endelige beløp må settes etter konseptvalg, FIS-krav, leverandørpriser og arenaavtaler.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Kostnadskategori</w:t>
            </w:r>
          </w:p>
        </w:tc>
        <w:tc>
          <w:tcPr>
            <w:shd w:fill="12355B"/>
          </w:tcPr>
          <w:p>
            <w:pPr>
              <w:spacing w:after="0"/>
            </w:pPr>
            <w:r>
              <w:rPr>
                <w:b/>
                <w:color w:val="FFFFFF"/>
                <w:sz w:val="18"/>
              </w:rPr>
              <w:t>Innhold</w:t>
            </w:r>
          </w:p>
        </w:tc>
        <w:tc>
          <w:tcPr>
            <w:shd w:fill="12355B"/>
          </w:tcPr>
          <w:p>
            <w:pPr>
              <w:spacing w:after="0"/>
            </w:pPr>
            <w:r>
              <w:rPr>
                <w:b/>
                <w:color w:val="FFFFFF"/>
                <w:sz w:val="18"/>
              </w:rPr>
              <w:t>Kommentar</w:t>
            </w:r>
          </w:p>
        </w:tc>
      </w:tr>
      <w:tr>
        <w:tc>
          <w:tcPr/>
          <w:p>
            <w:pPr>
              <w:spacing w:after="0"/>
            </w:pPr>
            <w:r>
              <w:rPr>
                <w:color w:val="1F2937"/>
                <w:sz w:val="18"/>
              </w:rPr>
              <w:t>Sportslig gjennomføring</w:t>
            </w:r>
          </w:p>
        </w:tc>
        <w:tc>
          <w:tcPr/>
          <w:p>
            <w:pPr>
              <w:spacing w:after="0"/>
            </w:pPr>
            <w:r>
              <w:rPr>
                <w:color w:val="1F2937"/>
                <w:sz w:val="18"/>
              </w:rPr>
              <w:t>Løype, porter, tidtaking, teknisk delegat, jury, konkurransedrift</w:t>
            </w:r>
          </w:p>
        </w:tc>
        <w:tc>
          <w:tcPr/>
          <w:p>
            <w:pPr>
              <w:spacing w:after="0"/>
            </w:pPr>
            <w:r>
              <w:rPr>
                <w:color w:val="1F2937"/>
                <w:sz w:val="18"/>
              </w:rPr>
              <w:t>Kritisk kvalitetspost</w:t>
            </w:r>
          </w:p>
        </w:tc>
      </w:tr>
      <w:tr>
        <w:tc>
          <w:tcPr/>
          <w:p>
            <w:pPr>
              <w:spacing w:after="0"/>
            </w:pPr>
            <w:r>
              <w:rPr>
                <w:color w:val="1F2937"/>
                <w:sz w:val="18"/>
              </w:rPr>
              <w:t>Arena og rigg</w:t>
            </w:r>
          </w:p>
        </w:tc>
        <w:tc>
          <w:tcPr/>
          <w:p>
            <w:pPr>
              <w:spacing w:after="0"/>
            </w:pPr>
            <w:r>
              <w:rPr>
                <w:color w:val="1F2937"/>
                <w:sz w:val="18"/>
              </w:rPr>
              <w:t>Tribuner, målområde, strøm, lys, snø, sikring, skilt, gjerder</w:t>
            </w:r>
          </w:p>
        </w:tc>
        <w:tc>
          <w:tcPr/>
          <w:p>
            <w:pPr>
              <w:spacing w:after="0"/>
            </w:pPr>
            <w:r>
              <w:rPr>
                <w:color w:val="1F2937"/>
                <w:sz w:val="18"/>
              </w:rPr>
              <w:t>Høy operativ risiko</w:t>
            </w:r>
          </w:p>
        </w:tc>
      </w:tr>
      <w:tr>
        <w:tc>
          <w:tcPr/>
          <w:p>
            <w:pPr>
              <w:spacing w:after="0"/>
            </w:pPr>
            <w:r>
              <w:rPr>
                <w:color w:val="1F2937"/>
                <w:sz w:val="18"/>
              </w:rPr>
              <w:t>TV og media</w:t>
            </w:r>
          </w:p>
        </w:tc>
        <w:tc>
          <w:tcPr/>
          <w:p>
            <w:pPr>
              <w:spacing w:after="0"/>
            </w:pPr>
            <w:r>
              <w:rPr>
                <w:color w:val="1F2937"/>
                <w:sz w:val="18"/>
              </w:rPr>
              <w:t>Kameraposisjoner, pressefasiliteter, mixed zone, infrastruktur</w:t>
            </w:r>
          </w:p>
        </w:tc>
        <w:tc>
          <w:tcPr/>
          <w:p>
            <w:pPr>
              <w:spacing w:after="0"/>
            </w:pPr>
            <w:r>
              <w:rPr>
                <w:color w:val="1F2937"/>
                <w:sz w:val="18"/>
              </w:rPr>
              <w:t>Avhenger av rettighetshaver</w:t>
            </w:r>
          </w:p>
        </w:tc>
      </w:tr>
      <w:tr>
        <w:tc>
          <w:tcPr/>
          <w:p>
            <w:pPr>
              <w:spacing w:after="0"/>
            </w:pPr>
            <w:r>
              <w:rPr>
                <w:color w:val="1F2937"/>
                <w:sz w:val="18"/>
              </w:rPr>
              <w:t>Sikkerhet og beredskap</w:t>
            </w:r>
          </w:p>
        </w:tc>
        <w:tc>
          <w:tcPr/>
          <w:p>
            <w:pPr>
              <w:spacing w:after="0"/>
            </w:pPr>
            <w:r>
              <w:rPr>
                <w:color w:val="1F2937"/>
                <w:sz w:val="18"/>
              </w:rPr>
              <w:t>Vakthold, helse, politi, evakuering, risikoanalyser</w:t>
            </w:r>
          </w:p>
        </w:tc>
        <w:tc>
          <w:tcPr/>
          <w:p>
            <w:pPr>
              <w:spacing w:after="0"/>
            </w:pPr>
            <w:r>
              <w:rPr>
                <w:color w:val="1F2937"/>
                <w:sz w:val="18"/>
              </w:rPr>
              <w:t>Nulltoleranse for alvorlige avvik</w:t>
            </w:r>
          </w:p>
        </w:tc>
      </w:tr>
      <w:tr>
        <w:tc>
          <w:tcPr/>
          <w:p>
            <w:pPr>
              <w:spacing w:after="0"/>
            </w:pPr>
            <w:r>
              <w:rPr>
                <w:color w:val="1F2937"/>
                <w:sz w:val="18"/>
              </w:rPr>
              <w:t>Publikum og logistikk</w:t>
            </w:r>
          </w:p>
        </w:tc>
        <w:tc>
          <w:tcPr/>
          <w:p>
            <w:pPr>
              <w:spacing w:after="0"/>
            </w:pPr>
            <w:r>
              <w:rPr>
                <w:color w:val="1F2937"/>
                <w:sz w:val="18"/>
              </w:rPr>
              <w:t>Transport, shuttle, billettsystem, publikumsflyt, toaletter, servering</w:t>
            </w:r>
          </w:p>
        </w:tc>
        <w:tc>
          <w:tcPr/>
          <w:p>
            <w:pPr>
              <w:spacing w:after="0"/>
            </w:pPr>
            <w:r>
              <w:rPr>
                <w:color w:val="1F2937"/>
                <w:sz w:val="18"/>
              </w:rPr>
              <w:t>Kritisk for opplevelse</w:t>
            </w:r>
          </w:p>
        </w:tc>
      </w:tr>
      <w:tr>
        <w:tc>
          <w:tcPr/>
          <w:p>
            <w:pPr>
              <w:spacing w:after="0"/>
            </w:pPr>
            <w:r>
              <w:rPr>
                <w:color w:val="1F2937"/>
                <w:sz w:val="18"/>
              </w:rPr>
              <w:t>Sosial inkluderingsaktivitet i Tryvann</w:t>
            </w:r>
          </w:p>
        </w:tc>
        <w:tc>
          <w:tcPr/>
          <w:p>
            <w:pPr>
              <w:spacing w:after="0"/>
            </w:pPr>
            <w:r>
              <w:rPr>
                <w:color w:val="1F2937"/>
                <w:sz w:val="18"/>
              </w:rPr>
              <w:t>Gratis utlån av alpintutstyr, gratis heiskort, bemanning, vertskap, instruksjon, sikkerhet, informasjon og måling</w:t>
            </w:r>
          </w:p>
        </w:tc>
        <w:tc>
          <w:tcPr/>
          <w:p>
            <w:pPr>
              <w:spacing w:after="0"/>
            </w:pPr>
            <w:r>
              <w:rPr>
                <w:color w:val="1F2937"/>
                <w:sz w:val="18"/>
              </w:rPr>
              <w:t>Må finansieres og dimensjoneres særskilt fra World Cup-arenaen</w:t>
            </w:r>
          </w:p>
        </w:tc>
      </w:tr>
      <w:tr>
        <w:tc>
          <w:tcPr/>
          <w:p>
            <w:pPr>
              <w:spacing w:after="0"/>
            </w:pPr>
            <w:r>
              <w:rPr>
                <w:color w:val="1F2937"/>
                <w:sz w:val="18"/>
              </w:rPr>
              <w:t>Frivillige</w:t>
            </w:r>
          </w:p>
        </w:tc>
        <w:tc>
          <w:tcPr/>
          <w:p>
            <w:pPr>
              <w:spacing w:after="0"/>
            </w:pPr>
            <w:r>
              <w:rPr>
                <w:color w:val="1F2937"/>
                <w:sz w:val="18"/>
              </w:rPr>
              <w:t>Rekruttering, klær, mat, opplæring, akkreditering</w:t>
            </w:r>
          </w:p>
        </w:tc>
        <w:tc>
          <w:tcPr/>
          <w:p>
            <w:pPr>
              <w:spacing w:after="0"/>
            </w:pPr>
            <w:r>
              <w:rPr>
                <w:color w:val="1F2937"/>
                <w:sz w:val="18"/>
              </w:rPr>
              <w:t>Må planlegges tidlig</w:t>
            </w:r>
          </w:p>
        </w:tc>
      </w:tr>
      <w:tr>
        <w:tc>
          <w:tcPr/>
          <w:p>
            <w:pPr>
              <w:spacing w:after="0"/>
            </w:pPr>
            <w:r>
              <w:rPr>
                <w:color w:val="1F2937"/>
                <w:sz w:val="18"/>
              </w:rPr>
              <w:t>Marked og kommunikasjon</w:t>
            </w:r>
          </w:p>
        </w:tc>
        <w:tc>
          <w:tcPr/>
          <w:p>
            <w:pPr>
              <w:spacing w:after="0"/>
            </w:pPr>
            <w:r>
              <w:rPr>
                <w:color w:val="1F2937"/>
                <w:sz w:val="18"/>
              </w:rPr>
              <w:t>Profil, kampanjer, presse, SoMe, sponsoraktivering</w:t>
            </w:r>
          </w:p>
        </w:tc>
        <w:tc>
          <w:tcPr/>
          <w:p>
            <w:pPr>
              <w:spacing w:after="0"/>
            </w:pPr>
            <w:r>
              <w:rPr>
                <w:color w:val="1F2937"/>
                <w:sz w:val="18"/>
              </w:rPr>
              <w:t>Driver inntekter og sosial profil</w:t>
            </w:r>
          </w:p>
        </w:tc>
      </w:tr>
      <w:tr>
        <w:tc>
          <w:tcPr/>
          <w:p>
            <w:pPr>
              <w:spacing w:after="0"/>
            </w:pPr>
            <w:r>
              <w:rPr>
                <w:color w:val="1F2937"/>
                <w:sz w:val="18"/>
              </w:rPr>
              <w:t>Prosjektledelse</w:t>
            </w:r>
          </w:p>
        </w:tc>
        <w:tc>
          <w:tcPr/>
          <w:p>
            <w:pPr>
              <w:spacing w:after="0"/>
            </w:pPr>
            <w:r>
              <w:rPr>
                <w:color w:val="1F2937"/>
                <w:sz w:val="18"/>
              </w:rPr>
              <w:t>Prosjektteam, administrasjon, rapportering, juridisk, økonomi</w:t>
            </w:r>
          </w:p>
        </w:tc>
        <w:tc>
          <w:tcPr/>
          <w:p>
            <w:pPr>
              <w:spacing w:after="0"/>
            </w:pPr>
            <w:r>
              <w:rPr>
                <w:color w:val="1F2937"/>
                <w:sz w:val="18"/>
              </w:rPr>
              <w:t>Må ha tydelig mandat</w:t>
            </w:r>
          </w:p>
        </w:tc>
      </w:tr>
      <w:tr>
        <w:tc>
          <w:tcPr/>
          <w:p>
            <w:pPr>
              <w:spacing w:after="0"/>
            </w:pPr>
            <w:r>
              <w:rPr>
                <w:color w:val="1F2937"/>
                <w:sz w:val="18"/>
              </w:rPr>
              <w:t>Bærekraft</w:t>
            </w:r>
          </w:p>
        </w:tc>
        <w:tc>
          <w:tcPr/>
          <w:p>
            <w:pPr>
              <w:spacing w:after="0"/>
            </w:pPr>
            <w:r>
              <w:rPr>
                <w:color w:val="1F2937"/>
                <w:sz w:val="18"/>
              </w:rPr>
              <w:t>Avfall, måling, miljøtiltak, sosial inkludering, rapportering</w:t>
            </w:r>
          </w:p>
        </w:tc>
        <w:tc>
          <w:tcPr/>
          <w:p>
            <w:pPr>
              <w:spacing w:after="0"/>
            </w:pPr>
            <w:r>
              <w:rPr>
                <w:color w:val="1F2937"/>
                <w:sz w:val="18"/>
              </w:rPr>
              <w:t>PRINCE2 7-relevant styringsområde</w:t>
            </w:r>
          </w:p>
        </w:tc>
      </w:tr>
      <w:tr>
        <w:tc>
          <w:tcPr/>
          <w:p>
            <w:pPr>
              <w:spacing w:after="0"/>
            </w:pPr>
            <w:r>
              <w:rPr>
                <w:color w:val="1F2937"/>
                <w:sz w:val="18"/>
              </w:rPr>
              <w:t>Reserve / usikkerhet</w:t>
            </w:r>
          </w:p>
        </w:tc>
        <w:tc>
          <w:tcPr/>
          <w:p>
            <w:pPr>
              <w:spacing w:after="0"/>
            </w:pPr>
            <w:r>
              <w:rPr>
                <w:color w:val="1F2937"/>
                <w:sz w:val="18"/>
              </w:rPr>
              <w:t>Vær, prisvekst, ekstra sikring, endringer, kapasitetsbehov i Tryvann</w:t>
            </w:r>
          </w:p>
        </w:tc>
        <w:tc>
          <w:tcPr/>
          <w:p>
            <w:pPr>
              <w:spacing w:after="0"/>
            </w:pPr>
            <w:r>
              <w:rPr>
                <w:color w:val="1F2937"/>
                <w:sz w:val="18"/>
              </w:rPr>
              <w:t>Bør være eksplisitt styrt</w:t>
            </w:r>
          </w:p>
        </w:tc>
      </w:tr>
    </w:tbl>
    <w:p>
      <w:pPr>
        <w:spacing w:after="120" w:line="276" w:lineRule="auto"/>
      </w:pPr>
      <w:r>
        <w:rPr>
          <w:sz w:val="21"/>
        </w:rPr>
        <w:t/>
      </w:r>
    </w:p>
    <w:p>
      <w:pPr>
        <w:spacing w:before="280" w:after="100"/>
        <w:keepNext/>
      </w:pPr>
      <w:r>
        <w:rPr>
          <w:b/>
          <w:color w:val="12355B"/>
          <w:sz w:val="26"/>
        </w:rPr>
        <w:t>Inntektskategorier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Inntektskilde</w:t>
            </w:r>
          </w:p>
        </w:tc>
        <w:tc>
          <w:tcPr>
            <w:shd w:fill="12355B"/>
          </w:tcPr>
          <w:p>
            <w:pPr>
              <w:spacing w:after="0"/>
            </w:pPr>
            <w:r>
              <w:rPr>
                <w:b/>
                <w:color w:val="FFFFFF"/>
                <w:sz w:val="18"/>
              </w:rPr>
              <w:t>Beskrivelse</w:t>
            </w:r>
          </w:p>
        </w:tc>
        <w:tc>
          <w:tcPr>
            <w:shd w:fill="12355B"/>
          </w:tcPr>
          <w:p>
            <w:pPr>
              <w:spacing w:after="0"/>
            </w:pPr>
            <w:r>
              <w:rPr>
                <w:b/>
                <w:color w:val="FFFFFF"/>
                <w:sz w:val="18"/>
              </w:rPr>
              <w:t>Kritisk forutsetning</w:t>
            </w:r>
          </w:p>
        </w:tc>
      </w:tr>
      <w:tr>
        <w:tc>
          <w:tcPr/>
          <w:p>
            <w:pPr>
              <w:spacing w:after="0"/>
            </w:pPr>
            <w:r>
              <w:rPr>
                <w:color w:val="1F2937"/>
                <w:sz w:val="18"/>
              </w:rPr>
              <w:t>Sponsorinntekter</w:t>
            </w:r>
          </w:p>
        </w:tc>
        <w:tc>
          <w:tcPr/>
          <w:p>
            <w:pPr>
              <w:spacing w:after="0"/>
            </w:pPr>
            <w:r>
              <w:rPr>
                <w:color w:val="1F2937"/>
                <w:sz w:val="18"/>
              </w:rPr>
              <w:t>Hovedsponsor, partnere, lokale sponsorer</w:t>
            </w:r>
          </w:p>
        </w:tc>
        <w:tc>
          <w:tcPr/>
          <w:p>
            <w:pPr>
              <w:spacing w:after="0"/>
            </w:pPr>
            <w:r>
              <w:rPr>
                <w:color w:val="1F2937"/>
                <w:sz w:val="18"/>
              </w:rPr>
              <w:t>Tydelig rettighetspakke</w:t>
            </w:r>
          </w:p>
        </w:tc>
      </w:tr>
      <w:tr>
        <w:tc>
          <w:tcPr/>
          <w:p>
            <w:pPr>
              <w:spacing w:after="0"/>
            </w:pPr>
            <w:r>
              <w:rPr>
                <w:color w:val="1F2937"/>
                <w:sz w:val="18"/>
              </w:rPr>
              <w:t>Billettinntekter</w:t>
            </w:r>
          </w:p>
        </w:tc>
        <w:tc>
          <w:tcPr/>
          <w:p>
            <w:pPr>
              <w:spacing w:after="0"/>
            </w:pPr>
            <w:r>
              <w:rPr>
                <w:color w:val="1F2937"/>
                <w:sz w:val="18"/>
              </w:rPr>
              <w:t>Dagspass, familiepakker, VIP/hospitality</w:t>
            </w:r>
          </w:p>
        </w:tc>
        <w:tc>
          <w:tcPr/>
          <w:p>
            <w:pPr>
              <w:spacing w:after="0"/>
            </w:pPr>
            <w:r>
              <w:rPr>
                <w:color w:val="1F2937"/>
                <w:sz w:val="18"/>
              </w:rPr>
              <w:t>Attraktiv publikumsopplevelse</w:t>
            </w:r>
          </w:p>
        </w:tc>
      </w:tr>
      <w:tr>
        <w:tc>
          <w:tcPr/>
          <w:p>
            <w:pPr>
              <w:spacing w:after="0"/>
            </w:pPr>
            <w:r>
              <w:rPr>
                <w:color w:val="1F2937"/>
                <w:sz w:val="18"/>
              </w:rPr>
              <w:t>Offentlige bidrag</w:t>
            </w:r>
          </w:p>
        </w:tc>
        <w:tc>
          <w:tcPr/>
          <w:p>
            <w:pPr>
              <w:spacing w:after="0"/>
            </w:pPr>
            <w:r>
              <w:rPr>
                <w:color w:val="1F2937"/>
                <w:sz w:val="18"/>
              </w:rPr>
              <w:t>Kommune, fylke, statlige ordninger, idrettsmidler</w:t>
            </w:r>
          </w:p>
        </w:tc>
        <w:tc>
          <w:tcPr/>
          <w:p>
            <w:pPr>
              <w:spacing w:after="0"/>
            </w:pPr>
            <w:r>
              <w:rPr>
                <w:color w:val="1F2937"/>
                <w:sz w:val="18"/>
              </w:rPr>
              <w:t>Dokumentert samfunnsverdi</w:t>
            </w:r>
          </w:p>
        </w:tc>
      </w:tr>
      <w:tr>
        <w:tc>
          <w:tcPr/>
          <w:p>
            <w:pPr>
              <w:spacing w:after="0"/>
            </w:pPr>
            <w:r>
              <w:rPr>
                <w:color w:val="1F2937"/>
                <w:sz w:val="18"/>
              </w:rPr>
              <w:t>Hospitality</w:t>
            </w:r>
          </w:p>
        </w:tc>
        <w:tc>
          <w:tcPr/>
          <w:p>
            <w:pPr>
              <w:spacing w:after="0"/>
            </w:pPr>
            <w:r>
              <w:rPr>
                <w:color w:val="1F2937"/>
                <w:sz w:val="18"/>
              </w:rPr>
              <w:t>Bedriftspakker, servering, VIP-områder</w:t>
            </w:r>
          </w:p>
        </w:tc>
        <w:tc>
          <w:tcPr/>
          <w:p>
            <w:pPr>
              <w:spacing w:after="0"/>
            </w:pPr>
            <w:r>
              <w:rPr>
                <w:color w:val="1F2937"/>
                <w:sz w:val="18"/>
              </w:rPr>
              <w:t>Kapasitet og sponsorinteresse</w:t>
            </w:r>
          </w:p>
        </w:tc>
      </w:tr>
      <w:tr>
        <w:tc>
          <w:tcPr/>
          <w:p>
            <w:pPr>
              <w:spacing w:after="0"/>
            </w:pPr>
            <w:r>
              <w:rPr>
                <w:color w:val="1F2937"/>
                <w:sz w:val="18"/>
              </w:rPr>
              <w:t>Salg på arena</w:t>
            </w:r>
          </w:p>
        </w:tc>
        <w:tc>
          <w:tcPr/>
          <w:p>
            <w:pPr>
              <w:spacing w:after="0"/>
            </w:pPr>
            <w:r>
              <w:rPr>
                <w:color w:val="1F2937"/>
                <w:sz w:val="18"/>
              </w:rPr>
              <w:t>Mat, drikke, merchandise</w:t>
            </w:r>
          </w:p>
        </w:tc>
        <w:tc>
          <w:tcPr/>
          <w:p>
            <w:pPr>
              <w:spacing w:after="0"/>
            </w:pPr>
            <w:r>
              <w:rPr>
                <w:color w:val="1F2937"/>
                <w:sz w:val="18"/>
              </w:rPr>
              <w:t>Publikumstall og logistikk</w:t>
            </w:r>
          </w:p>
        </w:tc>
      </w:tr>
      <w:tr>
        <w:tc>
          <w:tcPr/>
          <w:p>
            <w:pPr>
              <w:spacing w:after="0"/>
            </w:pPr>
            <w:r>
              <w:rPr>
                <w:color w:val="1F2937"/>
                <w:sz w:val="18"/>
              </w:rPr>
              <w:t>Medie-/rettighetsrelatert verdi</w:t>
            </w:r>
          </w:p>
        </w:tc>
        <w:tc>
          <w:tcPr/>
          <w:p>
            <w:pPr>
              <w:spacing w:after="0"/>
            </w:pPr>
            <w:r>
              <w:rPr>
                <w:color w:val="1F2937"/>
                <w:sz w:val="18"/>
              </w:rPr>
              <w:t>Avhenger av avtalestruktur</w:t>
            </w:r>
          </w:p>
        </w:tc>
        <w:tc>
          <w:tcPr/>
          <w:p>
            <w:pPr>
              <w:spacing w:after="0"/>
            </w:pPr>
            <w:r>
              <w:rPr>
                <w:color w:val="1F2937"/>
                <w:sz w:val="18"/>
              </w:rPr>
              <w:t>Må avklares med rettighetshavere</w:t>
            </w:r>
          </w:p>
        </w:tc>
      </w:tr>
    </w:tbl>
    <w:p>
      <w:pPr>
        <w:spacing w:after="120" w:line="276" w:lineRule="auto"/>
      </w:pPr>
      <w:r>
        <w:rPr>
          <w:sz w:val="21"/>
        </w:rPr>
        <w:t/>
      </w:r>
    </w:p>
    <w:p>
      <w:pPr>
        <w:spacing w:before="280" w:after="100"/>
        <w:keepNext/>
      </w:pPr>
      <w:r>
        <w:rPr>
          <w:b/>
          <w:color w:val="12355B"/>
          <w:sz w:val="26"/>
        </w:rPr>
        <w:t>Økonomisk vurdering</w:t>
      </w:r>
    </w:p>
    <w:p>
      <w:pPr>
        <w:spacing w:after="120" w:line="276" w:lineRule="auto"/>
      </w:pPr>
      <w:r>
        <w:rPr>
          <w:sz w:val="21"/>
        </w:rPr>
        <w:t>Foreløpig økonomisk mål bør være at arrangementet enten går i balanse eller leverer et avtalt overskudd/reserve etter risikoavsetning.</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Økonomisk styringspunkt</w:t>
            </w:r>
          </w:p>
        </w:tc>
        <w:tc>
          <w:tcPr>
            <w:shd w:fill="12355B"/>
          </w:tcPr>
          <w:p>
            <w:pPr>
              <w:spacing w:after="0"/>
            </w:pPr>
            <w:r>
              <w:rPr>
                <w:b/>
                <w:color w:val="FFFFFF"/>
                <w:sz w:val="18"/>
              </w:rPr>
              <w:t>Foreslått krav</w:t>
            </w:r>
          </w:p>
        </w:tc>
      </w:tr>
      <w:tr>
        <w:tc>
          <w:tcPr/>
          <w:p>
            <w:pPr>
              <w:spacing w:after="0"/>
            </w:pPr>
            <w:r>
              <w:rPr>
                <w:color w:val="1F2937"/>
                <w:sz w:val="18"/>
              </w:rPr>
              <w:t>Minimum finansieringsgrad før full gjennomføring</w:t>
            </w:r>
          </w:p>
        </w:tc>
        <w:tc>
          <w:tcPr/>
          <w:p>
            <w:pPr>
              <w:spacing w:after="0"/>
            </w:pPr>
            <w:r>
              <w:rPr>
                <w:color w:val="1F2937"/>
                <w:sz w:val="18"/>
              </w:rPr>
              <w:t>80-85 % av inntektsbudsjett sikret innen T-6 mnd</w:t>
            </w:r>
          </w:p>
        </w:tc>
      </w:tr>
      <w:tr>
        <w:tc>
          <w:tcPr/>
          <w:p>
            <w:pPr>
              <w:spacing w:after="0"/>
            </w:pPr>
            <w:r>
              <w:rPr>
                <w:color w:val="1F2937"/>
                <w:sz w:val="18"/>
              </w:rPr>
              <w:t>Kostnadstoleranse</w:t>
            </w:r>
          </w:p>
        </w:tc>
        <w:tc>
          <w:tcPr/>
          <w:p>
            <w:pPr>
              <w:spacing w:after="0"/>
            </w:pPr>
            <w:r>
              <w:rPr>
                <w:color w:val="1F2937"/>
                <w:sz w:val="18"/>
              </w:rPr>
              <w:t>Eskalering ved prognose &gt;5-10 % over budsjett</w:t>
            </w:r>
          </w:p>
        </w:tc>
      </w:tr>
      <w:tr>
        <w:tc>
          <w:tcPr/>
          <w:p>
            <w:pPr>
              <w:spacing w:after="0"/>
            </w:pPr>
            <w:r>
              <w:rPr>
                <w:color w:val="1F2937"/>
                <w:sz w:val="18"/>
              </w:rPr>
              <w:t>Sponsor-toleranse</w:t>
            </w:r>
          </w:p>
        </w:tc>
        <w:tc>
          <w:tcPr/>
          <w:p>
            <w:pPr>
              <w:spacing w:after="0"/>
            </w:pPr>
            <w:r>
              <w:rPr>
                <w:color w:val="1F2937"/>
                <w:sz w:val="18"/>
              </w:rPr>
              <w:t>Tiltaksplan hvis &lt;85 % sponsorbudsjett er signert innen T-6 mnd</w:t>
            </w:r>
          </w:p>
        </w:tc>
      </w:tr>
      <w:tr>
        <w:tc>
          <w:tcPr/>
          <w:p>
            <w:pPr>
              <w:spacing w:after="0"/>
            </w:pPr>
            <w:r>
              <w:rPr>
                <w:color w:val="1F2937"/>
                <w:sz w:val="18"/>
              </w:rPr>
              <w:t>Reserve</w:t>
            </w:r>
          </w:p>
        </w:tc>
        <w:tc>
          <w:tcPr/>
          <w:p>
            <w:pPr>
              <w:spacing w:after="0"/>
            </w:pPr>
            <w:r>
              <w:rPr>
                <w:color w:val="1F2937"/>
                <w:sz w:val="18"/>
              </w:rPr>
              <w:t>Egen usikkerhetsreserve for vær, rigg og sikkerhet</w:t>
            </w:r>
          </w:p>
        </w:tc>
      </w:tr>
      <w:tr>
        <w:tc>
          <w:tcPr/>
          <w:p>
            <w:pPr>
              <w:spacing w:after="0"/>
            </w:pPr>
            <w:r>
              <w:rPr>
                <w:color w:val="1F2937"/>
                <w:sz w:val="18"/>
              </w:rPr>
              <w:t>Go/no-go</w:t>
            </w:r>
          </w:p>
        </w:tc>
        <w:tc>
          <w:tcPr/>
          <w:p>
            <w:pPr>
              <w:spacing w:after="0"/>
            </w:pPr>
            <w:r>
              <w:rPr>
                <w:color w:val="1F2937"/>
                <w:sz w:val="18"/>
              </w:rPr>
              <w:t>Project Board beslutter basert på finansiering, arena, risiko og FIS-krav</w:t>
            </w:r>
          </w:p>
        </w:tc>
      </w:tr>
    </w:tbl>
    <w:p>
      <w:pPr>
        <w:spacing w:after="120" w:line="276" w:lineRule="auto"/>
      </w:pPr>
      <w:r>
        <w:rPr>
          <w:sz w:val="21"/>
        </w:rPr>
        <w:t/>
      </w:r>
    </w:p>
    <w:p>
      <w:pPr>
        <w:spacing w:before="280" w:after="100"/>
        <w:keepNext/>
      </w:pPr>
      <w:r>
        <w:rPr>
          <w:b/>
          <w:color w:val="12355B"/>
          <w:sz w:val="26"/>
        </w:rPr>
        <w:t>Hovedrisikoer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gridCol w:w="2200"/>
      </w:tblGrid>
      <w:tr>
        <w:tc>
          <w:tcPr>
            <w:shd w:fill="12355B"/>
          </w:tcPr>
          <w:p>
            <w:pPr>
              <w:spacing w:after="0"/>
            </w:pPr>
            <w:r>
              <w:rPr>
                <w:b/>
                <w:color w:val="FFFFFF"/>
                <w:sz w:val="18"/>
              </w:rPr>
              <w:t>Risiko</w:t>
            </w:r>
          </w:p>
        </w:tc>
        <w:tc>
          <w:tcPr>
            <w:shd w:fill="12355B"/>
          </w:tcPr>
          <w:p>
            <w:pPr>
              <w:spacing w:after="0"/>
            </w:pPr>
            <w:r>
              <w:rPr>
                <w:b/>
                <w:color w:val="FFFFFF"/>
                <w:sz w:val="18"/>
              </w:rPr>
              <w:t>Konsekvens</w:t>
            </w:r>
          </w:p>
        </w:tc>
        <w:tc>
          <w:tcPr>
            <w:shd w:fill="12355B"/>
          </w:tcPr>
          <w:p>
            <w:pPr>
              <w:spacing w:after="0"/>
            </w:pPr>
            <w:r>
              <w:rPr>
                <w:b/>
                <w:color w:val="FFFFFF"/>
                <w:sz w:val="18"/>
              </w:rPr>
              <w:t>Sannsynlighet</w:t>
            </w:r>
          </w:p>
        </w:tc>
        <w:tc>
          <w:tcPr>
            <w:shd w:fill="12355B"/>
          </w:tcPr>
          <w:p>
            <w:pPr>
              <w:spacing w:after="0"/>
            </w:pPr>
            <w:r>
              <w:rPr>
                <w:b/>
                <w:color w:val="FFFFFF"/>
                <w:sz w:val="18"/>
              </w:rPr>
              <w:t>Tiltak</w:t>
            </w:r>
          </w:p>
        </w:tc>
        <w:tc>
          <w:tcPr>
            <w:shd w:fill="12355B"/>
          </w:tcPr>
          <w:p>
            <w:pPr>
              <w:spacing w:after="0"/>
            </w:pPr>
            <w:r>
              <w:rPr>
                <w:b/>
                <w:color w:val="FFFFFF"/>
                <w:sz w:val="18"/>
              </w:rPr>
              <w:t>Eier</w:t>
            </w:r>
          </w:p>
        </w:tc>
      </w:tr>
      <w:tr>
        <w:tc>
          <w:tcPr/>
          <w:p>
            <w:pPr>
              <w:spacing w:after="0"/>
            </w:pPr>
            <w:r>
              <w:rPr>
                <w:color w:val="1F2937"/>
                <w:sz w:val="18"/>
              </w:rPr>
              <w:t>Manglende FIS-/kalendergodkjenning</w:t>
            </w:r>
          </w:p>
        </w:tc>
        <w:tc>
          <w:tcPr/>
          <w:p>
            <w:pPr>
              <w:spacing w:after="0"/>
            </w:pPr>
            <w:r>
              <w:rPr>
                <w:color w:val="1F2937"/>
                <w:sz w:val="18"/>
              </w:rPr>
              <w:t>Arrangementet kan ikke gjennomføres som planlagt</w:t>
            </w:r>
          </w:p>
        </w:tc>
        <w:tc>
          <w:tcPr/>
          <w:p>
            <w:pPr>
              <w:spacing w:after="0"/>
            </w:pPr>
            <w:r>
              <w:rPr>
                <w:color w:val="1F2937"/>
                <w:sz w:val="18"/>
              </w:rPr>
              <w:t>Middels</w:t>
            </w:r>
          </w:p>
        </w:tc>
        <w:tc>
          <w:tcPr/>
          <w:p>
            <w:pPr>
              <w:spacing w:after="0"/>
            </w:pPr>
            <w:r>
              <w:rPr>
                <w:color w:val="1F2937"/>
                <w:sz w:val="18"/>
              </w:rPr>
              <w:t>Tidlig dialog med FIS og NSF</w:t>
            </w:r>
          </w:p>
        </w:tc>
        <w:tc>
          <w:tcPr/>
          <w:p>
            <w:pPr>
              <w:spacing w:after="0"/>
            </w:pPr>
            <w:r>
              <w:rPr>
                <w:color w:val="1F2937"/>
                <w:sz w:val="18"/>
              </w:rPr>
              <w:t>Sport</w:t>
            </w:r>
          </w:p>
        </w:tc>
      </w:tr>
      <w:tr>
        <w:tc>
          <w:tcPr/>
          <w:p>
            <w:pPr>
              <w:spacing w:after="0"/>
            </w:pPr>
            <w:r>
              <w:rPr>
                <w:color w:val="1F2937"/>
                <w:sz w:val="18"/>
              </w:rPr>
              <w:t>Utilstrekkelige snø-/værforhold</w:t>
            </w:r>
          </w:p>
        </w:tc>
        <w:tc>
          <w:tcPr/>
          <w:p>
            <w:pPr>
              <w:spacing w:after="0"/>
            </w:pPr>
            <w:r>
              <w:rPr>
                <w:color w:val="1F2937"/>
                <w:sz w:val="18"/>
              </w:rPr>
              <w:t>Avlysning, utsettelse eller økte kostnader</w:t>
            </w:r>
          </w:p>
        </w:tc>
        <w:tc>
          <w:tcPr/>
          <w:p>
            <w:pPr>
              <w:spacing w:after="0"/>
            </w:pPr>
            <w:r>
              <w:rPr>
                <w:color w:val="1F2937"/>
                <w:sz w:val="18"/>
              </w:rPr>
              <w:t>Middels/høy</w:t>
            </w:r>
          </w:p>
        </w:tc>
        <w:tc>
          <w:tcPr/>
          <w:p>
            <w:pPr>
              <w:spacing w:after="0"/>
            </w:pPr>
            <w:r>
              <w:rPr>
                <w:color w:val="1F2937"/>
                <w:sz w:val="18"/>
              </w:rPr>
              <w:t>Snøplan, reserveplan, værberedskap</w:t>
            </w:r>
          </w:p>
        </w:tc>
        <w:tc>
          <w:tcPr/>
          <w:p>
            <w:pPr>
              <w:spacing w:after="0"/>
            </w:pPr>
            <w:r>
              <w:rPr>
                <w:color w:val="1F2937"/>
                <w:sz w:val="18"/>
              </w:rPr>
              <w:t>Arena / sport</w:t>
            </w:r>
          </w:p>
        </w:tc>
      </w:tr>
      <w:tr>
        <w:tc>
          <w:tcPr/>
          <w:p>
            <w:pPr>
              <w:spacing w:after="0"/>
            </w:pPr>
            <w:r>
              <w:rPr>
                <w:color w:val="1F2937"/>
                <w:sz w:val="18"/>
              </w:rPr>
              <w:t>Sponsorinntekter lavere enn planlagt</w:t>
            </w:r>
          </w:p>
        </w:tc>
        <w:tc>
          <w:tcPr/>
          <w:p>
            <w:pPr>
              <w:spacing w:after="0"/>
            </w:pPr>
            <w:r>
              <w:rPr>
                <w:color w:val="1F2937"/>
                <w:sz w:val="18"/>
              </w:rPr>
              <w:t>Svekket business case</w:t>
            </w:r>
          </w:p>
        </w:tc>
        <w:tc>
          <w:tcPr/>
          <w:p>
            <w:pPr>
              <w:spacing w:after="0"/>
            </w:pPr>
            <w:r>
              <w:rPr>
                <w:color w:val="1F2937"/>
                <w:sz w:val="18"/>
              </w:rPr>
              <w:t>Middels</w:t>
            </w:r>
          </w:p>
        </w:tc>
        <w:tc>
          <w:tcPr/>
          <w:p>
            <w:pPr>
              <w:spacing w:after="0"/>
            </w:pPr>
            <w:r>
              <w:rPr>
                <w:color w:val="1F2937"/>
                <w:sz w:val="18"/>
              </w:rPr>
              <w:t>Tidlig kommersiell plan, trinnvis go/no-go</w:t>
            </w:r>
          </w:p>
        </w:tc>
        <w:tc>
          <w:tcPr/>
          <w:p>
            <w:pPr>
              <w:spacing w:after="0"/>
            </w:pPr>
            <w:r>
              <w:rPr>
                <w:color w:val="1F2937"/>
                <w:sz w:val="18"/>
              </w:rPr>
              <w:t>Kommersiell leder</w:t>
            </w:r>
          </w:p>
        </w:tc>
      </w:tr>
      <w:tr>
        <w:tc>
          <w:tcPr/>
          <w:p>
            <w:pPr>
              <w:spacing w:after="0"/>
            </w:pPr>
            <w:r>
              <w:rPr>
                <w:color w:val="1F2937"/>
                <w:sz w:val="18"/>
              </w:rPr>
              <w:t>Kostnadsøkning i rigg og sikkerhet</w:t>
            </w:r>
          </w:p>
        </w:tc>
        <w:tc>
          <w:tcPr/>
          <w:p>
            <w:pPr>
              <w:spacing w:after="0"/>
            </w:pPr>
            <w:r>
              <w:rPr>
                <w:color w:val="1F2937"/>
                <w:sz w:val="18"/>
              </w:rPr>
              <w:t>Budsjettoverskridelse</w:t>
            </w:r>
          </w:p>
        </w:tc>
        <w:tc>
          <w:tcPr/>
          <w:p>
            <w:pPr>
              <w:spacing w:after="0"/>
            </w:pPr>
            <w:r>
              <w:rPr>
                <w:color w:val="1F2937"/>
                <w:sz w:val="18"/>
              </w:rPr>
              <w:t>Middels</w:t>
            </w:r>
          </w:p>
        </w:tc>
        <w:tc>
          <w:tcPr/>
          <w:p>
            <w:pPr>
              <w:spacing w:after="0"/>
            </w:pPr>
            <w:r>
              <w:rPr>
                <w:color w:val="1F2937"/>
                <w:sz w:val="18"/>
              </w:rPr>
              <w:t>Konkurranseutsetting, reserve, tett prognose</w:t>
            </w:r>
          </w:p>
        </w:tc>
        <w:tc>
          <w:tcPr/>
          <w:p>
            <w:pPr>
              <w:spacing w:after="0"/>
            </w:pPr>
            <w:r>
              <w:rPr>
                <w:color w:val="1F2937"/>
                <w:sz w:val="18"/>
              </w:rPr>
              <w:t>Prosjektleder / økonomi</w:t>
            </w:r>
          </w:p>
        </w:tc>
      </w:tr>
      <w:tr>
        <w:tc>
          <w:tcPr/>
          <w:p>
            <w:pPr>
              <w:spacing w:after="0"/>
            </w:pPr>
            <w:r>
              <w:rPr>
                <w:color w:val="1F2937"/>
                <w:sz w:val="18"/>
              </w:rPr>
              <w:t>Svak publikumsoppslutning</w:t>
            </w:r>
          </w:p>
        </w:tc>
        <w:tc>
          <w:tcPr/>
          <w:p>
            <w:pPr>
              <w:spacing w:after="0"/>
            </w:pPr>
            <w:r>
              <w:rPr>
                <w:color w:val="1F2937"/>
                <w:sz w:val="18"/>
              </w:rPr>
              <w:t>Lavere inntekt og svakere effekt</w:t>
            </w:r>
          </w:p>
        </w:tc>
        <w:tc>
          <w:tcPr/>
          <w:p>
            <w:pPr>
              <w:spacing w:after="0"/>
            </w:pPr>
            <w:r>
              <w:rPr>
                <w:color w:val="1F2937"/>
                <w:sz w:val="18"/>
              </w:rPr>
              <w:t>Middels</w:t>
            </w:r>
          </w:p>
        </w:tc>
        <w:tc>
          <w:tcPr/>
          <w:p>
            <w:pPr>
              <w:spacing w:after="0"/>
            </w:pPr>
            <w:r>
              <w:rPr>
                <w:color w:val="1F2937"/>
                <w:sz w:val="18"/>
              </w:rPr>
              <w:t>Tidlig billettstrategi og kommunikasjon</w:t>
            </w:r>
          </w:p>
        </w:tc>
        <w:tc>
          <w:tcPr/>
          <w:p>
            <w:pPr>
              <w:spacing w:after="0"/>
            </w:pPr>
            <w:r>
              <w:rPr>
                <w:color w:val="1F2937"/>
                <w:sz w:val="18"/>
              </w:rPr>
              <w:t>Marked</w:t>
            </w:r>
          </w:p>
        </w:tc>
      </w:tr>
      <w:tr>
        <w:tc>
          <w:tcPr/>
          <w:p>
            <w:pPr>
              <w:spacing w:after="0"/>
            </w:pPr>
            <w:r>
              <w:rPr>
                <w:color w:val="1F2937"/>
                <w:sz w:val="18"/>
              </w:rPr>
              <w:t>Tryvann-aktiviteten blir underdimensjonert</w:t>
            </w:r>
          </w:p>
        </w:tc>
        <w:tc>
          <w:tcPr/>
          <w:p>
            <w:pPr>
              <w:spacing w:after="0"/>
            </w:pPr>
            <w:r>
              <w:rPr>
                <w:color w:val="1F2937"/>
                <w:sz w:val="18"/>
              </w:rPr>
              <w:t>Sosial profil svekkes, kø, misnøye eller sikkerhetsutfordringer</w:t>
            </w:r>
          </w:p>
        </w:tc>
        <w:tc>
          <w:tcPr/>
          <w:p>
            <w:pPr>
              <w:spacing w:after="0"/>
            </w:pPr>
            <w:r>
              <w:rPr>
                <w:color w:val="1F2937"/>
                <w:sz w:val="18"/>
              </w:rPr>
              <w:t>Middels</w:t>
            </w:r>
          </w:p>
        </w:tc>
        <w:tc>
          <w:tcPr/>
          <w:p>
            <w:pPr>
              <w:spacing w:after="0"/>
            </w:pPr>
            <w:r>
              <w:rPr>
                <w:color w:val="1F2937"/>
                <w:sz w:val="18"/>
              </w:rPr>
              <w:t>Kapasitetsplan, forhåndsinformasjon, bemanning, utstyrspool og sikkerhetsopplegg</w:t>
            </w:r>
          </w:p>
        </w:tc>
        <w:tc>
          <w:tcPr/>
          <w:p>
            <w:pPr>
              <w:spacing w:after="0"/>
            </w:pPr>
            <w:r>
              <w:rPr>
                <w:color w:val="1F2937"/>
                <w:sz w:val="18"/>
              </w:rPr>
              <w:t>Sosial aktivitetsleder / Skimore</w:t>
            </w:r>
          </w:p>
        </w:tc>
      </w:tr>
      <w:tr>
        <w:tc>
          <w:tcPr/>
          <w:p>
            <w:pPr>
              <w:spacing w:after="0"/>
            </w:pPr>
            <w:r>
              <w:rPr>
                <w:color w:val="1F2937"/>
                <w:sz w:val="18"/>
              </w:rPr>
              <w:t>HMS-hendelse</w:t>
            </w:r>
          </w:p>
        </w:tc>
        <w:tc>
          <w:tcPr/>
          <w:p>
            <w:pPr>
              <w:spacing w:after="0"/>
            </w:pPr>
            <w:r>
              <w:rPr>
                <w:color w:val="1F2937"/>
                <w:sz w:val="18"/>
              </w:rPr>
              <w:t>Personskade og omdømmetap</w:t>
            </w:r>
          </w:p>
        </w:tc>
        <w:tc>
          <w:tcPr/>
          <w:p>
            <w:pPr>
              <w:spacing w:after="0"/>
            </w:pPr>
            <w:r>
              <w:rPr>
                <w:color w:val="1F2937"/>
                <w:sz w:val="18"/>
              </w:rPr>
              <w:t>Lav/middels</w:t>
            </w:r>
          </w:p>
        </w:tc>
        <w:tc>
          <w:tcPr/>
          <w:p>
            <w:pPr>
              <w:spacing w:after="0"/>
            </w:pPr>
            <w:r>
              <w:rPr>
                <w:color w:val="1F2937"/>
                <w:sz w:val="18"/>
              </w:rPr>
              <w:t>Beredskapsplan, øvelser, klare stoppkriterier</w:t>
            </w:r>
          </w:p>
        </w:tc>
        <w:tc>
          <w:tcPr/>
          <w:p>
            <w:pPr>
              <w:spacing w:after="0"/>
            </w:pPr>
            <w:r>
              <w:rPr>
                <w:color w:val="1F2937"/>
                <w:sz w:val="18"/>
              </w:rPr>
              <w:t>HMS</w:t>
            </w:r>
          </w:p>
        </w:tc>
      </w:tr>
      <w:tr>
        <w:tc>
          <w:tcPr/>
          <w:p>
            <w:pPr>
              <w:spacing w:after="0"/>
            </w:pPr>
            <w:r>
              <w:rPr>
                <w:color w:val="1F2937"/>
                <w:sz w:val="18"/>
              </w:rPr>
              <w:t>Transportkaos og lokal trafikkbelastning</w:t>
            </w:r>
          </w:p>
        </w:tc>
        <w:tc>
          <w:tcPr/>
          <w:p>
            <w:pPr>
              <w:spacing w:after="0"/>
            </w:pPr>
            <w:r>
              <w:rPr>
                <w:color w:val="1F2937"/>
                <w:sz w:val="18"/>
              </w:rPr>
              <w:t>Dårlig publikumsopplevelse, naboklager, forsinkelser og økte utslipp</w:t>
            </w:r>
          </w:p>
        </w:tc>
        <w:tc>
          <w:tcPr/>
          <w:p>
            <w:pPr>
              <w:spacing w:after="0"/>
            </w:pPr>
            <w:r>
              <w:rPr>
                <w:color w:val="1F2937"/>
                <w:sz w:val="18"/>
              </w:rPr>
              <w:t>Middels</w:t>
            </w:r>
          </w:p>
        </w:tc>
        <w:tc>
          <w:tcPr/>
          <w:p>
            <w:pPr>
              <w:spacing w:after="0"/>
            </w:pPr>
            <w:r>
              <w:rPr>
                <w:color w:val="1F2937"/>
                <w:sz w:val="18"/>
              </w:rPr>
              <w:t>Kollektiv-/shuttleplan, trafikkstyring, begrenset privatbil og tydelig publikumsinformasjon</w:t>
            </w:r>
          </w:p>
        </w:tc>
        <w:tc>
          <w:tcPr/>
          <w:p>
            <w:pPr>
              <w:spacing w:after="0"/>
            </w:pPr>
            <w:r>
              <w:rPr>
                <w:color w:val="1F2937"/>
                <w:sz w:val="18"/>
              </w:rPr>
              <w:t>Drift / transport</w:t>
            </w:r>
          </w:p>
        </w:tc>
      </w:tr>
      <w:tr>
        <w:tc>
          <w:tcPr/>
          <w:p>
            <w:pPr>
              <w:spacing w:after="0"/>
            </w:pPr>
            <w:r>
              <w:rPr>
                <w:color w:val="1F2937"/>
                <w:sz w:val="18"/>
              </w:rPr>
              <w:t>Støybelastning i arrangementshelgen</w:t>
            </w:r>
          </w:p>
        </w:tc>
        <w:tc>
          <w:tcPr/>
          <w:p>
            <w:pPr>
              <w:spacing w:after="0"/>
            </w:pPr>
            <w:r>
              <w:rPr>
                <w:color w:val="1F2937"/>
                <w:sz w:val="18"/>
              </w:rPr>
              <w:t>Naboklager og omdømmerisiko</w:t>
            </w:r>
          </w:p>
        </w:tc>
        <w:tc>
          <w:tcPr/>
          <w:p>
            <w:pPr>
              <w:spacing w:after="0"/>
            </w:pPr>
            <w:r>
              <w:rPr>
                <w:color w:val="1F2937"/>
                <w:sz w:val="18"/>
              </w:rPr>
              <w:t>Middels</w:t>
            </w:r>
          </w:p>
        </w:tc>
        <w:tc>
          <w:tcPr/>
          <w:p>
            <w:pPr>
              <w:spacing w:after="0"/>
            </w:pPr>
            <w:r>
              <w:rPr>
                <w:color w:val="1F2937"/>
                <w:sz w:val="18"/>
              </w:rPr>
              <w:t>Tidsvinduer, lydgrenser, naboinformasjon og kontaktpunkt for avvik</w:t>
            </w:r>
          </w:p>
        </w:tc>
        <w:tc>
          <w:tcPr/>
          <w:p>
            <w:pPr>
              <w:spacing w:after="0"/>
            </w:pPr>
            <w:r>
              <w:rPr>
                <w:color w:val="1F2937"/>
                <w:sz w:val="18"/>
              </w:rPr>
              <w:t>Kommunikasjon / arena</w:t>
            </w:r>
          </w:p>
        </w:tc>
      </w:tr>
      <w:tr>
        <w:tc>
          <w:tcPr/>
          <w:p>
            <w:pPr>
              <w:spacing w:after="0"/>
            </w:pPr>
            <w:r>
              <w:rPr>
                <w:color w:val="1F2937"/>
                <w:sz w:val="18"/>
              </w:rPr>
              <w:t>Frivilligmangel</w:t>
            </w:r>
          </w:p>
        </w:tc>
        <w:tc>
          <w:tcPr/>
          <w:p>
            <w:pPr>
              <w:spacing w:after="0"/>
            </w:pPr>
            <w:r>
              <w:rPr>
                <w:color w:val="1F2937"/>
                <w:sz w:val="18"/>
              </w:rPr>
              <w:t>Operativ svikt</w:t>
            </w:r>
          </w:p>
        </w:tc>
        <w:tc>
          <w:tcPr/>
          <w:p>
            <w:pPr>
              <w:spacing w:after="0"/>
            </w:pPr>
            <w:r>
              <w:rPr>
                <w:color w:val="1F2937"/>
                <w:sz w:val="18"/>
              </w:rPr>
              <w:t>Middels</w:t>
            </w:r>
          </w:p>
        </w:tc>
        <w:tc>
          <w:tcPr/>
          <w:p>
            <w:pPr>
              <w:spacing w:after="0"/>
            </w:pPr>
            <w:r>
              <w:rPr>
                <w:color w:val="1F2937"/>
                <w:sz w:val="18"/>
              </w:rPr>
              <w:t>Tidlig rekruttering og klubbforankring</w:t>
            </w:r>
          </w:p>
        </w:tc>
        <w:tc>
          <w:tcPr/>
          <w:p>
            <w:pPr>
              <w:spacing w:after="0"/>
            </w:pPr>
            <w:r>
              <w:rPr>
                <w:color w:val="1F2937"/>
                <w:sz w:val="18"/>
              </w:rPr>
              <w:t>Frivilligleder</w:t>
            </w:r>
          </w:p>
        </w:tc>
      </w:tr>
      <w:tr>
        <w:tc>
          <w:tcPr/>
          <w:p>
            <w:pPr>
              <w:spacing w:after="0"/>
            </w:pPr>
            <w:r>
              <w:rPr>
                <w:color w:val="1F2937"/>
                <w:sz w:val="18"/>
              </w:rPr>
              <w:t>Bærekraftsavvik</w:t>
            </w:r>
          </w:p>
        </w:tc>
        <w:tc>
          <w:tcPr/>
          <w:p>
            <w:pPr>
              <w:spacing w:after="0"/>
            </w:pPr>
            <w:r>
              <w:rPr>
                <w:color w:val="1F2937"/>
                <w:sz w:val="18"/>
              </w:rPr>
              <w:t>Omdømmerisiko</w:t>
            </w:r>
          </w:p>
        </w:tc>
        <w:tc>
          <w:tcPr/>
          <w:p>
            <w:pPr>
              <w:spacing w:after="0"/>
            </w:pPr>
            <w:r>
              <w:rPr>
                <w:color w:val="1F2937"/>
                <w:sz w:val="18"/>
              </w:rPr>
              <w:t>Middels</w:t>
            </w:r>
          </w:p>
        </w:tc>
        <w:tc>
          <w:tcPr/>
          <w:p>
            <w:pPr>
              <w:spacing w:after="0"/>
            </w:pPr>
            <w:r>
              <w:rPr>
                <w:color w:val="1F2937"/>
                <w:sz w:val="18"/>
              </w:rPr>
              <w:t>Miljøkrav i innkjøp og måling</w:t>
            </w:r>
          </w:p>
        </w:tc>
        <w:tc>
          <w:tcPr/>
          <w:p>
            <w:pPr>
              <w:spacing w:after="0"/>
            </w:pPr>
            <w:r>
              <w:rPr>
                <w:color w:val="1F2937"/>
                <w:sz w:val="18"/>
              </w:rPr>
              <w:t>Bærekraft</w:t>
            </w:r>
          </w:p>
        </w:tc>
      </w:tr>
    </w:tbl>
    <w:p>
      <w:pPr>
        <w:spacing w:after="120" w:line="276" w:lineRule="auto"/>
      </w:pPr>
      <w:r>
        <w:rPr>
          <w:sz w:val="21"/>
        </w:rPr>
        <w:t/>
      </w:r>
    </w:p>
    <w:p>
      <w:pPr>
        <w:spacing w:before="280" w:after="100"/>
        <w:keepNext/>
      </w:pPr>
      <w:r>
        <w:rPr>
          <w:b/>
          <w:color w:val="12355B"/>
          <w:sz w:val="26"/>
        </w:rPr>
        <w:t>Bærekraftsvurdering</w:t>
      </w:r>
    </w:p>
    <w:p>
      <w:pPr>
        <w:spacing w:after="120" w:line="276" w:lineRule="auto"/>
      </w:pPr>
      <w:r>
        <w:rPr>
          <w:sz w:val="21"/>
        </w:rPr>
        <w:t>PRINCE2 7 har bærekraft som et eksplisitt ytelsesområde. For Wyller bør bærekraft inn i business case-et, ikke bare som kommunikasjonsprofil. For dette prosjektet omfatter bærekraft også sosial bærekraft: tilgang til alpint for flere av byens innbyggere gjennom gratis utstyr og heiskort i Tryvann i arrangementshelgen.</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Område</w:t>
            </w:r>
          </w:p>
        </w:tc>
        <w:tc>
          <w:tcPr>
            <w:shd w:fill="12355B"/>
          </w:tcPr>
          <w:p>
            <w:pPr>
              <w:spacing w:after="0"/>
            </w:pPr>
            <w:r>
              <w:rPr>
                <w:b/>
                <w:color w:val="FFFFFF"/>
                <w:sz w:val="18"/>
              </w:rPr>
              <w:t>Tiltak</w:t>
            </w:r>
          </w:p>
        </w:tc>
        <w:tc>
          <w:tcPr>
            <w:shd w:fill="12355B"/>
          </w:tcPr>
          <w:p>
            <w:pPr>
              <w:spacing w:after="0"/>
            </w:pPr>
            <w:r>
              <w:rPr>
                <w:b/>
                <w:color w:val="FFFFFF"/>
                <w:sz w:val="18"/>
              </w:rPr>
              <w:t>KPI</w:t>
            </w:r>
          </w:p>
        </w:tc>
      </w:tr>
      <w:tr>
        <w:tc>
          <w:tcPr/>
          <w:p>
            <w:pPr>
              <w:spacing w:after="0"/>
            </w:pPr>
            <w:r>
              <w:rPr>
                <w:color w:val="1F2937"/>
                <w:sz w:val="18"/>
              </w:rPr>
              <w:t>Transport</w:t>
            </w:r>
          </w:p>
        </w:tc>
        <w:tc>
          <w:tcPr/>
          <w:p>
            <w:pPr>
              <w:spacing w:after="0"/>
            </w:pPr>
            <w:r>
              <w:rPr>
                <w:color w:val="1F2937"/>
                <w:sz w:val="18"/>
              </w:rPr>
              <w:t>Kollektiv, shuttle, begrenset privatbil, publikumsinformasjon</w:t>
            </w:r>
          </w:p>
        </w:tc>
        <w:tc>
          <w:tcPr/>
          <w:p>
            <w:pPr>
              <w:spacing w:after="0"/>
            </w:pPr>
            <w:r>
              <w:rPr>
                <w:color w:val="1F2937"/>
                <w:sz w:val="18"/>
              </w:rPr>
              <w:t>&gt;60 % kollektiv/shuttle</w:t>
            </w:r>
          </w:p>
        </w:tc>
      </w:tr>
      <w:tr>
        <w:tc>
          <w:tcPr/>
          <w:p>
            <w:pPr>
              <w:spacing w:after="0"/>
            </w:pPr>
            <w:r>
              <w:rPr>
                <w:color w:val="1F2937"/>
                <w:sz w:val="18"/>
              </w:rPr>
              <w:t>Avfall</w:t>
            </w:r>
          </w:p>
        </w:tc>
        <w:tc>
          <w:tcPr/>
          <w:p>
            <w:pPr>
              <w:spacing w:after="0"/>
            </w:pPr>
            <w:r>
              <w:rPr>
                <w:color w:val="1F2937"/>
                <w:sz w:val="18"/>
              </w:rPr>
              <w:t>Kildesortering, leverandørkrav, publikumsstasjoner</w:t>
            </w:r>
          </w:p>
        </w:tc>
        <w:tc>
          <w:tcPr/>
          <w:p>
            <w:pPr>
              <w:spacing w:after="0"/>
            </w:pPr>
            <w:r>
              <w:rPr>
                <w:color w:val="1F2937"/>
                <w:sz w:val="18"/>
              </w:rPr>
              <w:t>&gt;70 % sorteringsgrad</w:t>
            </w:r>
          </w:p>
        </w:tc>
      </w:tr>
      <w:tr>
        <w:tc>
          <w:tcPr/>
          <w:p>
            <w:pPr>
              <w:spacing w:after="0"/>
            </w:pPr>
            <w:r>
              <w:rPr>
                <w:color w:val="1F2937"/>
                <w:sz w:val="18"/>
              </w:rPr>
              <w:t>Energi</w:t>
            </w:r>
          </w:p>
        </w:tc>
        <w:tc>
          <w:tcPr/>
          <w:p>
            <w:pPr>
              <w:spacing w:after="0"/>
            </w:pPr>
            <w:r>
              <w:rPr>
                <w:color w:val="1F2937"/>
                <w:sz w:val="18"/>
              </w:rPr>
              <w:t>Effektiv rigg, måling av forbruk, fossilfrie løsninger der mulig</w:t>
            </w:r>
          </w:p>
        </w:tc>
        <w:tc>
          <w:tcPr/>
          <w:p>
            <w:pPr>
              <w:spacing w:after="0"/>
            </w:pPr>
            <w:r>
              <w:rPr>
                <w:color w:val="1F2937"/>
                <w:sz w:val="18"/>
              </w:rPr>
              <w:t>Energiforbruk målt og rapportert</w:t>
            </w:r>
          </w:p>
        </w:tc>
      </w:tr>
      <w:tr>
        <w:tc>
          <w:tcPr/>
          <w:p>
            <w:pPr>
              <w:spacing w:after="0"/>
            </w:pPr>
            <w:r>
              <w:rPr>
                <w:color w:val="1F2937"/>
                <w:sz w:val="18"/>
              </w:rPr>
              <w:t>Innkjøp</w:t>
            </w:r>
          </w:p>
        </w:tc>
        <w:tc>
          <w:tcPr/>
          <w:p>
            <w:pPr>
              <w:spacing w:after="0"/>
            </w:pPr>
            <w:r>
              <w:rPr>
                <w:color w:val="1F2937"/>
                <w:sz w:val="18"/>
              </w:rPr>
              <w:t>Lokale og sertifiserte leverandører der mulig</w:t>
            </w:r>
          </w:p>
        </w:tc>
        <w:tc>
          <w:tcPr/>
          <w:p>
            <w:pPr>
              <w:spacing w:after="0"/>
            </w:pPr>
            <w:r>
              <w:rPr>
                <w:color w:val="1F2937"/>
                <w:sz w:val="18"/>
              </w:rPr>
              <w:t>Andel lokale/sertifiserte leverandører</w:t>
            </w:r>
          </w:p>
        </w:tc>
      </w:tr>
      <w:tr>
        <w:tc>
          <w:tcPr/>
          <w:p>
            <w:pPr>
              <w:spacing w:after="0"/>
            </w:pPr>
            <w:r>
              <w:rPr>
                <w:color w:val="1F2937"/>
                <w:sz w:val="18"/>
              </w:rPr>
              <w:t>Sosial bærekraft</w:t>
            </w:r>
          </w:p>
        </w:tc>
        <w:tc>
          <w:tcPr/>
          <w:p>
            <w:pPr>
              <w:spacing w:after="0"/>
            </w:pPr>
            <w:r>
              <w:rPr>
                <w:color w:val="1F2937"/>
                <w:sz w:val="18"/>
              </w:rPr>
              <w:t>Gratis alpintutstyr og heiskort i Tryvann, frivilligpleie, lokalt idrettssamarbeid og tilgjengelig publikumsinformasjon</w:t>
            </w:r>
          </w:p>
        </w:tc>
        <w:tc>
          <w:tcPr/>
          <w:p>
            <w:pPr>
              <w:spacing w:after="0"/>
            </w:pPr>
            <w:r>
              <w:rPr>
                <w:color w:val="1F2937"/>
                <w:sz w:val="18"/>
              </w:rPr>
              <w:t>Antall deltakere, utlån, gratis heiskort brukt, tilfredshet og deltakerdemografi der lovlig/relevant</w:t>
            </w:r>
          </w:p>
        </w:tc>
      </w:tr>
      <w:tr>
        <w:tc>
          <w:tcPr/>
          <w:p>
            <w:pPr>
              <w:spacing w:after="0"/>
            </w:pPr>
            <w:r>
              <w:rPr>
                <w:color w:val="1F2937"/>
                <w:sz w:val="18"/>
              </w:rPr>
              <w:t>Lokal belastning</w:t>
            </w:r>
          </w:p>
        </w:tc>
        <w:tc>
          <w:tcPr/>
          <w:p>
            <w:pPr>
              <w:spacing w:after="0"/>
            </w:pPr>
            <w:r>
              <w:rPr>
                <w:color w:val="1F2937"/>
                <w:sz w:val="18"/>
              </w:rPr>
              <w:t>Trafikk-, støy- og nabotiltak som del av bærekraftsoppfølgingen</w:t>
            </w:r>
          </w:p>
        </w:tc>
        <w:tc>
          <w:tcPr/>
          <w:p>
            <w:pPr>
              <w:spacing w:after="0"/>
            </w:pPr>
            <w:r>
              <w:rPr>
                <w:color w:val="1F2937"/>
                <w:sz w:val="18"/>
              </w:rPr>
              <w:t>Antall naboklager, trafikkavvik, kollektivandel og avvik lukket</w:t>
            </w:r>
          </w:p>
        </w:tc>
      </w:tr>
      <w:tr>
        <w:tc>
          <w:tcPr/>
          <w:p>
            <w:pPr>
              <w:spacing w:after="0"/>
            </w:pPr>
            <w:r>
              <w:rPr>
                <w:color w:val="1F2937"/>
                <w:sz w:val="18"/>
              </w:rPr>
              <w:t>Etterbruk</w:t>
            </w:r>
          </w:p>
        </w:tc>
        <w:tc>
          <w:tcPr/>
          <w:p>
            <w:pPr>
              <w:spacing w:after="0"/>
            </w:pPr>
            <w:r>
              <w:rPr>
                <w:color w:val="1F2937"/>
                <w:sz w:val="18"/>
              </w:rPr>
              <w:t>Kompetanse, arrangementsmanual, læringsrapport og modell for fremtidige lavterskel alpintilbud</w:t>
            </w:r>
          </w:p>
        </w:tc>
        <w:tc>
          <w:tcPr/>
          <w:p>
            <w:pPr>
              <w:spacing w:after="0"/>
            </w:pPr>
            <w:r>
              <w:rPr>
                <w:color w:val="1F2937"/>
                <w:sz w:val="18"/>
              </w:rPr>
              <w:t>Lessons report og gevinstmåling</w:t>
            </w:r>
          </w:p>
        </w:tc>
      </w:tr>
    </w:tbl>
    <w:p>
      <w:pPr>
        <w:spacing w:after="120" w:line="276" w:lineRule="auto"/>
      </w:pPr>
      <w:r>
        <w:rPr>
          <w:sz w:val="21"/>
        </w:rPr>
        <w:t/>
      </w:r>
    </w:p>
    <w:p>
      <w:pPr>
        <w:spacing w:before="280" w:after="100"/>
        <w:keepNext/>
      </w:pPr>
      <w:r>
        <w:rPr>
          <w:b/>
          <w:color w:val="12355B"/>
          <w:sz w:val="26"/>
        </w:rPr>
        <w:t>Toleranser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PRINCE2-toleranse</w:t>
            </w:r>
          </w:p>
        </w:tc>
        <w:tc>
          <w:tcPr>
            <w:shd w:fill="12355B"/>
          </w:tcPr>
          <w:p>
            <w:pPr>
              <w:spacing w:after="0"/>
            </w:pPr>
            <w:r>
              <w:rPr>
                <w:b/>
                <w:color w:val="FFFFFF"/>
                <w:sz w:val="18"/>
              </w:rPr>
              <w:t>Foreslått prosjekttoleranse</w:t>
            </w:r>
          </w:p>
        </w:tc>
        <w:tc>
          <w:tcPr>
            <w:shd w:fill="12355B"/>
          </w:tcPr>
          <w:p>
            <w:pPr>
              <w:spacing w:after="0"/>
            </w:pPr>
            <w:r>
              <w:rPr>
                <w:b/>
                <w:color w:val="FFFFFF"/>
                <w:sz w:val="18"/>
              </w:rPr>
              <w:t>Eskalering</w:t>
            </w:r>
          </w:p>
        </w:tc>
      </w:tr>
      <w:tr>
        <w:tc>
          <w:tcPr/>
          <w:p>
            <w:pPr>
              <w:spacing w:after="0"/>
            </w:pPr>
            <w:r>
              <w:rPr>
                <w:color w:val="1F2937"/>
                <w:sz w:val="18"/>
              </w:rPr>
              <w:t>Tid</w:t>
            </w:r>
          </w:p>
        </w:tc>
        <w:tc>
          <w:tcPr/>
          <w:p>
            <w:pPr>
              <w:spacing w:after="0"/>
            </w:pPr>
            <w:r>
              <w:rPr>
                <w:color w:val="1F2937"/>
                <w:sz w:val="18"/>
              </w:rPr>
              <w:t>Kritiske milepæler maks 14 dager forsinket</w:t>
            </w:r>
          </w:p>
        </w:tc>
        <w:tc>
          <w:tcPr/>
          <w:p>
            <w:pPr>
              <w:spacing w:after="0"/>
            </w:pPr>
            <w:r>
              <w:rPr>
                <w:color w:val="1F2937"/>
                <w:sz w:val="18"/>
              </w:rPr>
              <w:t>Til Project Board</w:t>
            </w:r>
          </w:p>
        </w:tc>
      </w:tr>
      <w:tr>
        <w:tc>
          <w:tcPr/>
          <w:p>
            <w:pPr>
              <w:spacing w:after="0"/>
            </w:pPr>
            <w:r>
              <w:rPr>
                <w:color w:val="1F2937"/>
                <w:sz w:val="18"/>
              </w:rPr>
              <w:t>Kost</w:t>
            </w:r>
          </w:p>
        </w:tc>
        <w:tc>
          <w:tcPr/>
          <w:p>
            <w:pPr>
              <w:spacing w:after="0"/>
            </w:pPr>
            <w:r>
              <w:rPr>
                <w:color w:val="1F2937"/>
                <w:sz w:val="18"/>
              </w:rPr>
              <w:t>Maks 5-10 % negativ prognose før eskalering</w:t>
            </w:r>
          </w:p>
        </w:tc>
        <w:tc>
          <w:tcPr/>
          <w:p>
            <w:pPr>
              <w:spacing w:after="0"/>
            </w:pPr>
            <w:r>
              <w:rPr>
                <w:color w:val="1F2937"/>
                <w:sz w:val="18"/>
              </w:rPr>
              <w:t>Til Project Board</w:t>
            </w:r>
          </w:p>
        </w:tc>
      </w:tr>
      <w:tr>
        <w:tc>
          <w:tcPr/>
          <w:p>
            <w:pPr>
              <w:spacing w:after="0"/>
            </w:pPr>
            <w:r>
              <w:rPr>
                <w:color w:val="1F2937"/>
                <w:sz w:val="18"/>
              </w:rPr>
              <w:t>Kvalitet</w:t>
            </w:r>
          </w:p>
        </w:tc>
        <w:tc>
          <w:tcPr/>
          <w:p>
            <w:pPr>
              <w:spacing w:after="0"/>
            </w:pPr>
            <w:r>
              <w:rPr>
                <w:color w:val="1F2937"/>
                <w:sz w:val="18"/>
              </w:rPr>
              <w:t>Ingen avvik fra FIS-/HMS-kritiske krav</w:t>
            </w:r>
          </w:p>
        </w:tc>
        <w:tc>
          <w:tcPr/>
          <w:p>
            <w:pPr>
              <w:spacing w:after="0"/>
            </w:pPr>
            <w:r>
              <w:rPr>
                <w:color w:val="1F2937"/>
                <w:sz w:val="18"/>
              </w:rPr>
              <w:t>Umiddelbar eskalering</w:t>
            </w:r>
          </w:p>
        </w:tc>
      </w:tr>
      <w:tr>
        <w:tc>
          <w:tcPr/>
          <w:p>
            <w:pPr>
              <w:spacing w:after="0"/>
            </w:pPr>
            <w:r>
              <w:rPr>
                <w:color w:val="1F2937"/>
                <w:sz w:val="18"/>
              </w:rPr>
              <w:t>Scope</w:t>
            </w:r>
          </w:p>
        </w:tc>
        <w:tc>
          <w:tcPr/>
          <w:p>
            <w:pPr>
              <w:spacing w:after="0"/>
            </w:pPr>
            <w:r>
              <w:rPr>
                <w:color w:val="1F2937"/>
                <w:sz w:val="18"/>
              </w:rPr>
              <w:t>Slalåm og parallellslalåm for kvinner og menn</w:t>
            </w:r>
          </w:p>
        </w:tc>
        <w:tc>
          <w:tcPr/>
          <w:p>
            <w:pPr>
              <w:spacing w:after="0"/>
            </w:pPr>
            <w:r>
              <w:rPr>
                <w:color w:val="1F2937"/>
                <w:sz w:val="18"/>
              </w:rPr>
              <w:t>Endring krever Change Authority / Project Board</w:t>
            </w:r>
          </w:p>
        </w:tc>
      </w:tr>
      <w:tr>
        <w:tc>
          <w:tcPr/>
          <w:p>
            <w:pPr>
              <w:spacing w:after="0"/>
            </w:pPr>
            <w:r>
              <w:rPr>
                <w:color w:val="1F2937"/>
                <w:sz w:val="18"/>
              </w:rPr>
              <w:t>Risiko</w:t>
            </w:r>
          </w:p>
        </w:tc>
        <w:tc>
          <w:tcPr/>
          <w:p>
            <w:pPr>
              <w:spacing w:after="0"/>
            </w:pPr>
            <w:r>
              <w:rPr>
                <w:color w:val="1F2937"/>
                <w:sz w:val="18"/>
              </w:rPr>
              <w:t>Ingen røde risikoer uten tiltaksplan</w:t>
            </w:r>
          </w:p>
        </w:tc>
        <w:tc>
          <w:tcPr/>
          <w:p>
            <w:pPr>
              <w:spacing w:after="0"/>
            </w:pPr>
            <w:r>
              <w:rPr>
                <w:color w:val="1F2937"/>
                <w:sz w:val="18"/>
              </w:rPr>
              <w:t>Til Project Board</w:t>
            </w:r>
          </w:p>
        </w:tc>
      </w:tr>
      <w:tr>
        <w:tc>
          <w:tcPr/>
          <w:p>
            <w:pPr>
              <w:spacing w:after="0"/>
            </w:pPr>
            <w:r>
              <w:rPr>
                <w:color w:val="1F2937"/>
                <w:sz w:val="18"/>
              </w:rPr>
              <w:t>Gevinster</w:t>
            </w:r>
          </w:p>
        </w:tc>
        <w:tc>
          <w:tcPr/>
          <w:p>
            <w:pPr>
              <w:spacing w:after="0"/>
            </w:pPr>
            <w:r>
              <w:rPr>
                <w:color w:val="1F2937"/>
                <w:sz w:val="18"/>
              </w:rPr>
              <w:t>Prognose minst 80 % av definerte gevinstmål</w:t>
            </w:r>
          </w:p>
        </w:tc>
        <w:tc>
          <w:tcPr/>
          <w:p>
            <w:pPr>
              <w:spacing w:after="0"/>
            </w:pPr>
            <w:r>
              <w:rPr>
                <w:color w:val="1F2937"/>
                <w:sz w:val="18"/>
              </w:rPr>
              <w:t>Tiltaksplan / revurdering</w:t>
            </w:r>
          </w:p>
        </w:tc>
      </w:tr>
      <w:tr>
        <w:tc>
          <w:tcPr/>
          <w:p>
            <w:pPr>
              <w:spacing w:after="0"/>
            </w:pPr>
            <w:r>
              <w:rPr>
                <w:color w:val="1F2937"/>
                <w:sz w:val="18"/>
              </w:rPr>
              <w:t>Bærekraft</w:t>
            </w:r>
          </w:p>
        </w:tc>
        <w:tc>
          <w:tcPr/>
          <w:p>
            <w:pPr>
              <w:spacing w:after="0"/>
            </w:pPr>
            <w:r>
              <w:rPr>
                <w:color w:val="1F2937"/>
                <w:sz w:val="18"/>
              </w:rPr>
              <w:t>Vesentlige avvik fra bærekraftsplan eskaleres</w:t>
            </w:r>
          </w:p>
        </w:tc>
        <w:tc>
          <w:tcPr/>
          <w:p>
            <w:pPr>
              <w:spacing w:after="0"/>
            </w:pPr>
            <w:r>
              <w:rPr>
                <w:color w:val="1F2937"/>
                <w:sz w:val="18"/>
              </w:rPr>
              <w:t>Til Project Board</w:t>
            </w:r>
          </w:p>
        </w:tc>
      </w:tr>
    </w:tbl>
    <w:p>
      <w:pPr>
        <w:spacing w:after="120" w:line="276" w:lineRule="auto"/>
      </w:pPr>
      <w:r>
        <w:rPr>
          <w:sz w:val="21"/>
        </w:rPr>
        <w:t/>
      </w:r>
    </w:p>
    <w:p>
      <w:pPr>
        <w:spacing w:before="280" w:after="100"/>
        <w:keepNext/>
      </w:pPr>
      <w:r>
        <w:rPr>
          <w:b/>
          <w:color w:val="12355B"/>
          <w:sz w:val="26"/>
        </w:rPr>
        <w:t>Tids- og faseplan</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Fase</w:t>
            </w:r>
          </w:p>
        </w:tc>
        <w:tc>
          <w:tcPr>
            <w:shd w:fill="12355B"/>
          </w:tcPr>
          <w:p>
            <w:pPr>
              <w:spacing w:after="0"/>
            </w:pPr>
            <w:r>
              <w:rPr>
                <w:b/>
                <w:color w:val="FFFFFF"/>
                <w:sz w:val="18"/>
              </w:rPr>
              <w:t>Hovedinnhold</w:t>
            </w:r>
          </w:p>
        </w:tc>
        <w:tc>
          <w:tcPr>
            <w:shd w:fill="12355B"/>
          </w:tcPr>
          <w:p>
            <w:pPr>
              <w:spacing w:after="0"/>
            </w:pPr>
            <w:r>
              <w:rPr>
                <w:b/>
                <w:color w:val="FFFFFF"/>
                <w:sz w:val="18"/>
              </w:rPr>
              <w:t>Beslutningspunkt</w:t>
            </w:r>
          </w:p>
        </w:tc>
      </w:tr>
      <w:tr>
        <w:tc>
          <w:tcPr/>
          <w:p>
            <w:pPr>
              <w:spacing w:after="0"/>
            </w:pPr>
            <w:r>
              <w:rPr>
                <w:color w:val="1F2937"/>
                <w:sz w:val="18"/>
              </w:rPr>
              <w:t>T-24 til T-18 mnd</w:t>
            </w:r>
          </w:p>
        </w:tc>
        <w:tc>
          <w:tcPr/>
          <w:p>
            <w:pPr>
              <w:spacing w:after="0"/>
            </w:pPr>
            <w:r>
              <w:rPr>
                <w:color w:val="1F2937"/>
                <w:sz w:val="18"/>
              </w:rPr>
              <w:t>Konsept, FIS-dialog, arenaanalyse, foreløpig business case</w:t>
            </w:r>
          </w:p>
        </w:tc>
        <w:tc>
          <w:tcPr/>
          <w:p>
            <w:pPr>
              <w:spacing w:after="0"/>
            </w:pPr>
            <w:r>
              <w:rPr>
                <w:color w:val="1F2937"/>
                <w:sz w:val="18"/>
              </w:rPr>
              <w:t>Starte prosjekt</w:t>
            </w:r>
          </w:p>
        </w:tc>
      </w:tr>
      <w:tr>
        <w:tc>
          <w:tcPr/>
          <w:p>
            <w:pPr>
              <w:spacing w:after="0"/>
            </w:pPr>
            <w:r>
              <w:rPr>
                <w:color w:val="1F2937"/>
                <w:sz w:val="18"/>
              </w:rPr>
              <w:t>T-18 til T-12 mnd</w:t>
            </w:r>
          </w:p>
        </w:tc>
        <w:tc>
          <w:tcPr/>
          <w:p>
            <w:pPr>
              <w:spacing w:after="0"/>
            </w:pPr>
            <w:r>
              <w:rPr>
                <w:color w:val="1F2937"/>
                <w:sz w:val="18"/>
              </w:rPr>
              <w:t>Prosjektorganisasjon, sponsorstrategi, budsjett, myndighetsdialog</w:t>
            </w:r>
          </w:p>
        </w:tc>
        <w:tc>
          <w:tcPr/>
          <w:p>
            <w:pPr>
              <w:spacing w:after="0"/>
            </w:pPr>
            <w:r>
              <w:rPr>
                <w:color w:val="1F2937"/>
                <w:sz w:val="18"/>
              </w:rPr>
              <w:t>Godkjenne initiering</w:t>
            </w:r>
          </w:p>
        </w:tc>
      </w:tr>
      <w:tr>
        <w:tc>
          <w:tcPr/>
          <w:p>
            <w:pPr>
              <w:spacing w:after="0"/>
            </w:pPr>
            <w:r>
              <w:rPr>
                <w:color w:val="1F2937"/>
                <w:sz w:val="18"/>
              </w:rPr>
              <w:t>T-12 til T-6 mnd</w:t>
            </w:r>
          </w:p>
        </w:tc>
        <w:tc>
          <w:tcPr/>
          <w:p>
            <w:pPr>
              <w:spacing w:after="0"/>
            </w:pPr>
            <w:r>
              <w:rPr>
                <w:color w:val="1F2937"/>
                <w:sz w:val="18"/>
              </w:rPr>
              <w:t>Leverandører, frivillige, billett, TV/media, HMS, transport</w:t>
            </w:r>
          </w:p>
        </w:tc>
        <w:tc>
          <w:tcPr/>
          <w:p>
            <w:pPr>
              <w:spacing w:after="0"/>
            </w:pPr>
            <w:r>
              <w:rPr>
                <w:color w:val="1F2937"/>
                <w:sz w:val="18"/>
              </w:rPr>
              <w:t>Full gjennomføring / justering</w:t>
            </w:r>
          </w:p>
        </w:tc>
      </w:tr>
      <w:tr>
        <w:tc>
          <w:tcPr/>
          <w:p>
            <w:pPr>
              <w:spacing w:after="0"/>
            </w:pPr>
            <w:r>
              <w:rPr>
                <w:color w:val="1F2937"/>
                <w:sz w:val="18"/>
              </w:rPr>
              <w:t>T-6 til T-1 mnd</w:t>
            </w:r>
          </w:p>
        </w:tc>
        <w:tc>
          <w:tcPr/>
          <w:p>
            <w:pPr>
              <w:spacing w:after="0"/>
            </w:pPr>
            <w:r>
              <w:rPr>
                <w:color w:val="1F2937"/>
                <w:sz w:val="18"/>
              </w:rPr>
              <w:t>Operativ plan, test, beredskap, løype, kommunikasjon</w:t>
            </w:r>
          </w:p>
        </w:tc>
        <w:tc>
          <w:tcPr/>
          <w:p>
            <w:pPr>
              <w:spacing w:after="0"/>
            </w:pPr>
            <w:r>
              <w:rPr>
                <w:color w:val="1F2937"/>
                <w:sz w:val="18"/>
              </w:rPr>
              <w:t>Go/no-go</w:t>
            </w:r>
          </w:p>
        </w:tc>
      </w:tr>
      <w:tr>
        <w:tc>
          <w:tcPr/>
          <w:p>
            <w:pPr>
              <w:spacing w:after="0"/>
            </w:pPr>
            <w:r>
              <w:rPr>
                <w:color w:val="1F2937"/>
                <w:sz w:val="18"/>
              </w:rPr>
              <w:t>Arrangement</w:t>
            </w:r>
          </w:p>
        </w:tc>
        <w:tc>
          <w:tcPr/>
          <w:p>
            <w:pPr>
              <w:spacing w:after="0"/>
            </w:pPr>
            <w:r>
              <w:rPr>
                <w:color w:val="1F2937"/>
                <w:sz w:val="18"/>
              </w:rPr>
              <w:t>Daglig styring, HMS, sport, publikum, media</w:t>
            </w:r>
          </w:p>
        </w:tc>
        <w:tc>
          <w:tcPr/>
          <w:p>
            <w:pPr>
              <w:spacing w:after="0"/>
            </w:pPr>
            <w:r>
              <w:rPr>
                <w:color w:val="1F2937"/>
                <w:sz w:val="18"/>
              </w:rPr>
              <w:t>Daglige beslutningsmøter</w:t>
            </w:r>
          </w:p>
        </w:tc>
      </w:tr>
      <w:tr>
        <w:tc>
          <w:tcPr/>
          <w:p>
            <w:pPr>
              <w:spacing w:after="0"/>
            </w:pPr>
            <w:r>
              <w:rPr>
                <w:color w:val="1F2937"/>
                <w:sz w:val="18"/>
              </w:rPr>
              <w:t>T+1 til T+3 mnd</w:t>
            </w:r>
          </w:p>
        </w:tc>
        <w:tc>
          <w:tcPr/>
          <w:p>
            <w:pPr>
              <w:spacing w:after="0"/>
            </w:pPr>
            <w:r>
              <w:rPr>
                <w:color w:val="1F2937"/>
                <w:sz w:val="18"/>
              </w:rPr>
              <w:t>Sluttrapport, regnskap, gevinstmåling, læring</w:t>
            </w:r>
          </w:p>
        </w:tc>
        <w:tc>
          <w:tcPr/>
          <w:p>
            <w:pPr>
              <w:spacing w:after="0"/>
            </w:pPr>
            <w:r>
              <w:rPr>
                <w:color w:val="1F2937"/>
                <w:sz w:val="18"/>
              </w:rPr>
              <w:t>Lukke prosjekt</w:t>
            </w:r>
          </w:p>
        </w:tc>
      </w:tr>
    </w:tbl>
    <w:p>
      <w:pPr>
        <w:spacing w:after="120" w:line="276" w:lineRule="auto"/>
      </w:pPr>
      <w:r>
        <w:rPr>
          <w:sz w:val="21"/>
        </w:rPr>
        <w:t/>
      </w:r>
    </w:p>
    <w:p>
      <w:pPr>
        <w:spacing w:before="280" w:after="100"/>
        <w:keepNext/>
      </w:pPr>
      <w:r>
        <w:rPr>
          <w:b/>
          <w:color w:val="12355B"/>
          <w:sz w:val="26"/>
        </w:rPr>
        <w:t>Anbefaling</w:t>
      </w:r>
    </w:p>
    <w:p>
      <w:pPr>
        <w:spacing w:after="120" w:line="276" w:lineRule="auto"/>
      </w:pPr>
      <w:r>
        <w:rPr>
          <w:sz w:val="21"/>
        </w:rPr>
        <w:t>Prosjektet anbefales videreført til initieringsfase dersom arena og løype vurderes realistisk for FIS-krav, finansieringsplan viser realistisk balanse, prosjektstyre og prosjektleder er etablert, risikoregister har eiere og tiltak, bærekraftsmål er integrert i plan og innkjøp, og sponsor- og publikumsstrategi er realistisk.</w:t>
      </w:r>
    </w:p>
    <w:p>
      <w:pPr>
        <w:spacing w:after="120" w:line="276" w:lineRule="auto"/>
      </w:pPr>
      <w:r>
        <w:rPr>
          <w:sz w:val="21"/>
        </w:rPr>
        <w:t>Den sosiale inkluderingsaktiviteten i Tryvann bør behandles som en egen leveranse med budsjett, produkteier, kapasitetsplan, sikkerhetsopplegg og gevinstmåling. Aktiviteten bør inngå i go/no-go-vurderingen senest T-6 måneder før arrangementet.</w:t>
      </w:r>
    </w:p>
    <w:p>
      <w:pPr>
        <w:spacing w:after="120" w:line="276" w:lineRule="auto"/>
      </w:pPr>
      <w:r>
        <w:rPr>
          <w:sz w:val="21"/>
        </w:rPr>
        <w:t>Foreløpig beslutning: Viderefør prosjektet til neste PRINCE2-fase med et oppdatert business case, mer presist budsjett, tydelig plan for Tryvann-aktiviteten og tydelig go/no-go-punkt senest T-6 måneder før arrangementet.</w:t>
      </w:r>
    </w:p>
    <w:p>
      <w:pPr>
        <w:spacing w:before="280" w:after="100"/>
        <w:keepNext/>
      </w:pPr>
      <w:r>
        <w:rPr>
          <w:b/>
          <w:color w:val="12355B"/>
          <w:sz w:val="26"/>
        </w:rPr>
        <w:t>PRINCE2-samsvar</w:t>
      </w:r>
    </w:p>
    <w:p>
      <w:pPr>
        <w:spacing w:after="120" w:line="276" w:lineRule="auto"/>
      </w:pPr>
      <w:r>
        <w:rPr>
          <w:sz w:val="21"/>
        </w:rPr>
        <w:t>Dette business case-et støtter særlig PRINCE2-prinsippet om continued business justification: prosjektet skal bare fortsette så lenge det er ønskelig, gjennomførbart og oppnåelig. Det bør oppdateres ved hver stage boundary, ved store endringer, og når risiko, kostnader eller gevinster endrer seg vesentlig.</w:t>
      </w:r>
    </w:p>
    <w:sectPr>
      <w:pgSz w:w="11906" w:h="16838"/>
      <w:pgMar w:top="1134" w:right="850" w:bottom="1134" w:left="85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Business Case World Cup Alpint Wyllerløypa 2028</dc:title>
  <dc:creator>Codex</dc:creator>
  <cp:lastModifiedBy>Codex</cp:lastModifiedBy>
  <dcterms:created xsi:type="dcterms:W3CDTF">2026-06-18T09:07:30Z</dcterms:created>
  <dcterms:modified xsi:type="dcterms:W3CDTF">2026-06-18T09:07:30Z</dcterms:modified>
</cp:coreProperties>
</file>