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spacing w:after="220"/>
        <w:jc w:val="center"/>
      </w:pPr>
      <w:r>
        <w:rPr>
          <w:b/>
          <w:color w:val="12355B"/>
          <w:sz w:val="36"/>
        </w:rPr>
        <w:t>Business Case</w:t>
      </w:r>
    </w:p>
    <w:p>
      <w:pPr>
        <w:spacing w:after="280"/>
        <w:jc w:val="center"/>
      </w:pPr>
      <w:r>
        <w:rPr>
          <w:color w:val="475569"/>
          <w:sz w:val="22"/>
        </w:rPr>
        <w:t>World Cup Alpint Wyllerløypa 2028</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Prosjekt</w:t>
            </w:r>
          </w:p>
        </w:tc>
        <w:tc>
          <w:tcPr>
            <w:shd w:fill="12355B"/>
          </w:tcPr>
          <w:p>
            <w:pPr>
              <w:spacing w:after="0"/>
            </w:pPr>
            <w:r>
              <w:rPr>
                <w:b/>
                <w:color w:val="FFFFFF"/>
                <w:sz w:val="18"/>
              </w:rPr>
              <w:t>World Cup Alpint Wyllerløypa 2028</w:t>
            </w:r>
          </w:p>
        </w:tc>
      </w:tr>
      <w:tr>
        <w:tc>
          <w:tcPr/>
          <w:p>
            <w:pPr>
              <w:spacing w:after="0"/>
            </w:pPr>
            <w:r>
              <w:rPr>
                <w:color w:val="1F2937"/>
                <w:sz w:val="18"/>
              </w:rPr>
              <w:t>Grener</w:t>
            </w:r>
          </w:p>
        </w:tc>
        <w:tc>
          <w:tcPr/>
          <w:p>
            <w:pPr>
              <w:spacing w:after="0"/>
            </w:pPr>
            <w:r>
              <w:rPr>
                <w:color w:val="1F2937"/>
                <w:sz w:val="18"/>
              </w:rPr>
              <w:t>Slalåm og parallellslalåm, kvinner og menn</w:t>
            </w:r>
          </w:p>
        </w:tc>
      </w:tr>
      <w:tr>
        <w:tc>
          <w:tcPr/>
          <w:p>
            <w:pPr>
              <w:spacing w:after="0"/>
            </w:pPr>
            <w:r>
              <w:rPr>
                <w:color w:val="1F2937"/>
                <w:sz w:val="18"/>
              </w:rPr>
              <w:t>Arena</w:t>
            </w:r>
          </w:p>
        </w:tc>
        <w:tc>
          <w:tcPr/>
          <w:p>
            <w:pPr>
              <w:spacing w:after="0"/>
            </w:pPr>
            <w:r>
              <w:rPr>
                <w:color w:val="1F2937"/>
                <w:sz w:val="18"/>
              </w:rPr>
              <w:t>Wyllerløypa / Oslo Vinterpark</w:t>
            </w:r>
          </w:p>
        </w:tc>
      </w:tr>
      <w:tr>
        <w:tc>
          <w:tcPr/>
          <w:p>
            <w:pPr>
              <w:spacing w:after="0"/>
            </w:pPr>
            <w:r>
              <w:rPr>
                <w:color w:val="1F2937"/>
                <w:sz w:val="18"/>
              </w:rPr>
              <w:t>Styringsmodell</w:t>
            </w:r>
          </w:p>
        </w:tc>
        <w:tc>
          <w:tcPr/>
          <w:p>
            <w:pPr>
              <w:spacing w:after="0"/>
            </w:pPr>
            <w:r>
              <w:rPr>
                <w:color w:val="1F2937"/>
                <w:sz w:val="18"/>
              </w:rPr>
              <w:t>PRINCE2-basert prosjektstyring</w:t>
            </w:r>
          </w:p>
        </w:tc>
      </w:tr>
      <w:tr>
        <w:tc>
          <w:tcPr/>
          <w:p>
            <w:pPr>
              <w:spacing w:after="0"/>
            </w:pPr>
            <w:r>
              <w:rPr>
                <w:color w:val="1F2937"/>
                <w:sz w:val="18"/>
              </w:rPr>
              <w:t>Status</w:t>
            </w:r>
          </w:p>
        </w:tc>
        <w:tc>
          <w:tcPr/>
          <w:p>
            <w:pPr>
              <w:spacing w:after="0"/>
            </w:pPr>
            <w:r>
              <w:rPr>
                <w:color w:val="1F2937"/>
                <w:sz w:val="18"/>
              </w:rPr>
              <w:t>Utkast v1.0</w:t>
            </w:r>
          </w:p>
        </w:tc>
      </w:tr>
    </w:tbl>
    <w:p>
      <w:pPr>
        <w:spacing w:after="120" w:line="276" w:lineRule="auto"/>
      </w:pPr>
      <w:r>
        <w:rPr>
          <w:sz w:val="21"/>
        </w:rPr>
        <w:t/>
      </w:r>
    </w:p>
    <w:p>
      <w:pPr>
        <w:spacing w:before="280" w:after="100"/>
        <w:keepNext/>
      </w:pPr>
      <w:r>
        <w:rPr>
          <w:b/>
          <w:color w:val="12355B"/>
          <w:sz w:val="26"/>
        </w:rPr>
        <w:t>Executive Summary</w:t>
      </w:r>
    </w:p>
    <w:p>
      <w:pPr>
        <w:spacing w:after="120" w:line="276" w:lineRule="auto"/>
      </w:pPr>
      <w:r>
        <w:rPr>
          <w:sz w:val="21"/>
        </w:rPr>
        <w:t>Formålet med prosjektet er å planlegge og gjennomføre et internasjonalt World Cup-arrangement i alpint i Wyllerløypa i 2028. Arrangementet skal levere konkurranser i slalåm og parallellslalåm for kvinner og menn, med høy sportslig kvalitet, sterk publikumsopplevelse, god TV-/medieproduksjon, sikker gjennomføring og positiv effekt for Oslo, norsk alpint og anlegget.</w:t>
      </w:r>
    </w:p>
    <w:p>
      <w:pPr>
        <w:spacing w:after="120" w:line="276" w:lineRule="auto"/>
      </w:pPr>
      <w:r>
        <w:rPr>
          <w:sz w:val="21"/>
        </w:rPr>
        <w:t>Business case-et anbefaler at prosjektet videreføres til neste planleggingsfase, forutsatt at kritiske forutsetninger for FIS-godkjenning, arena, finansiering, operativ kapasitet og bærekraft bekreftes.</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Kritisk forutsetning</w:t>
            </w:r>
          </w:p>
        </w:tc>
        <w:tc>
          <w:tcPr>
            <w:shd w:fill="12355B"/>
          </w:tcPr>
          <w:p>
            <w:pPr>
              <w:spacing w:after="0"/>
            </w:pPr>
            <w:r>
              <w:rPr>
                <w:b/>
                <w:color w:val="FFFFFF"/>
                <w:sz w:val="18"/>
              </w:rPr>
              <w:t>Må være avklart</w:t>
            </w:r>
          </w:p>
        </w:tc>
      </w:tr>
      <w:tr>
        <w:tc>
          <w:tcPr/>
          <w:p>
            <w:pPr>
              <w:spacing w:after="0"/>
            </w:pPr>
            <w:r>
              <w:rPr>
                <w:color w:val="1F2937"/>
                <w:sz w:val="18"/>
              </w:rPr>
              <w:t>FIS-/sportslig godkjenning</w:t>
            </w:r>
          </w:p>
        </w:tc>
        <w:tc>
          <w:tcPr/>
          <w:p>
            <w:pPr>
              <w:spacing w:after="0"/>
            </w:pPr>
            <w:r>
              <w:rPr>
                <w:color w:val="1F2937"/>
                <w:sz w:val="18"/>
              </w:rPr>
              <w:t>Konkurranseformat, kalenderplass og tekniske krav</w:t>
            </w:r>
          </w:p>
        </w:tc>
      </w:tr>
      <w:tr>
        <w:tc>
          <w:tcPr/>
          <w:p>
            <w:pPr>
              <w:spacing w:after="0"/>
            </w:pPr>
            <w:r>
              <w:rPr>
                <w:color w:val="1F2937"/>
                <w:sz w:val="18"/>
              </w:rPr>
              <w:t>Arenaegnethet</w:t>
            </w:r>
          </w:p>
        </w:tc>
        <w:tc>
          <w:tcPr/>
          <w:p>
            <w:pPr>
              <w:spacing w:after="0"/>
            </w:pPr>
            <w:r>
              <w:rPr>
                <w:color w:val="1F2937"/>
                <w:sz w:val="18"/>
              </w:rPr>
              <w:t>Løype, snøproduksjon, sikkerhet, logistikk og publikumsarealer</w:t>
            </w:r>
          </w:p>
        </w:tc>
      </w:tr>
      <w:tr>
        <w:tc>
          <w:tcPr/>
          <w:p>
            <w:pPr>
              <w:spacing w:after="0"/>
            </w:pPr>
            <w:r>
              <w:rPr>
                <w:color w:val="1F2937"/>
                <w:sz w:val="18"/>
              </w:rPr>
              <w:t>Finansiering</w:t>
            </w:r>
          </w:p>
        </w:tc>
        <w:tc>
          <w:tcPr/>
          <w:p>
            <w:pPr>
              <w:spacing w:after="0"/>
            </w:pPr>
            <w:r>
              <w:rPr>
                <w:color w:val="1F2937"/>
                <w:sz w:val="18"/>
              </w:rPr>
              <w:t>Sponsorinntekter, offentlige bidrag, billettinntekter og egenfinansiering</w:t>
            </w:r>
          </w:p>
        </w:tc>
      </w:tr>
      <w:tr>
        <w:tc>
          <w:tcPr/>
          <w:p>
            <w:pPr>
              <w:spacing w:after="0"/>
            </w:pPr>
            <w:r>
              <w:rPr>
                <w:color w:val="1F2937"/>
                <w:sz w:val="18"/>
              </w:rPr>
              <w:t>Operativ kapasitet</w:t>
            </w:r>
          </w:p>
        </w:tc>
        <w:tc>
          <w:tcPr/>
          <w:p>
            <w:pPr>
              <w:spacing w:after="0"/>
            </w:pPr>
            <w:r>
              <w:rPr>
                <w:color w:val="1F2937"/>
                <w:sz w:val="18"/>
              </w:rPr>
              <w:t>Prosjektorganisasjon, frivillige, leverandører og beredskap</w:t>
            </w:r>
          </w:p>
        </w:tc>
      </w:tr>
      <w:tr>
        <w:tc>
          <w:tcPr/>
          <w:p>
            <w:pPr>
              <w:spacing w:after="0"/>
            </w:pPr>
            <w:r>
              <w:rPr>
                <w:color w:val="1F2937"/>
                <w:sz w:val="18"/>
              </w:rPr>
              <w:t>Bærekraft</w:t>
            </w:r>
          </w:p>
        </w:tc>
        <w:tc>
          <w:tcPr/>
          <w:p>
            <w:pPr>
              <w:spacing w:after="0"/>
            </w:pPr>
            <w:r>
              <w:rPr>
                <w:color w:val="1F2937"/>
                <w:sz w:val="18"/>
              </w:rPr>
              <w:t>Transport, avfall, energi, innkjøp og lokal verdiskaping</w:t>
            </w:r>
          </w:p>
        </w:tc>
      </w:tr>
    </w:tbl>
    <w:p>
      <w:pPr>
        <w:spacing w:after="120" w:line="276" w:lineRule="auto"/>
      </w:pPr>
      <w:r>
        <w:rPr>
          <w:sz w:val="21"/>
        </w:rPr>
        <w:t/>
      </w:r>
    </w:p>
    <w:p>
      <w:pPr>
        <w:spacing w:before="280" w:after="100"/>
        <w:keepNext/>
      </w:pPr>
      <w:r>
        <w:rPr>
          <w:b/>
          <w:color w:val="12355B"/>
          <w:sz w:val="26"/>
        </w:rPr>
        <w:t>Bakgrunn og behov</w:t>
      </w:r>
    </w:p>
    <w:p>
      <w:pPr>
        <w:spacing w:after="120" w:line="276" w:lineRule="auto"/>
      </w:pPr>
      <w:r>
        <w:rPr>
          <w:sz w:val="21"/>
        </w:rPr>
        <w:t>Wyllerløypa er en sentral alpin arena i Oslo-regionen med potensial for å løfte alpinsporten nær et stort bypublikum. Et World Cup-arrangement kan gi internasjonal synlighet, rekruttering til skiidretten, økt bruk av anlegget og styrket posisjon for Oslo som vinter- og arrangementsby.</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Behov</w:t>
            </w:r>
          </w:p>
        </w:tc>
        <w:tc>
          <w:tcPr>
            <w:shd w:fill="12355B"/>
          </w:tcPr>
          <w:p>
            <w:pPr>
              <w:spacing w:after="0"/>
            </w:pPr>
            <w:r>
              <w:rPr>
                <w:b/>
                <w:color w:val="FFFFFF"/>
                <w:sz w:val="18"/>
              </w:rPr>
              <w:t>Forklaring</w:t>
            </w:r>
          </w:p>
        </w:tc>
      </w:tr>
      <w:tr>
        <w:tc>
          <w:tcPr/>
          <w:p>
            <w:pPr>
              <w:spacing w:after="0"/>
            </w:pPr>
            <w:r>
              <w:rPr>
                <w:color w:val="1F2937"/>
                <w:sz w:val="18"/>
              </w:rPr>
              <w:t>Sportslig utvikling</w:t>
            </w:r>
          </w:p>
        </w:tc>
        <w:tc>
          <w:tcPr/>
          <w:p>
            <w:pPr>
              <w:spacing w:after="0"/>
            </w:pPr>
            <w:r>
              <w:rPr>
                <w:color w:val="1F2937"/>
                <w:sz w:val="18"/>
              </w:rPr>
              <w:t>Gi norske og internasjonale utøvere en profilert konkurransearena</w:t>
            </w:r>
          </w:p>
        </w:tc>
      </w:tr>
      <w:tr>
        <w:tc>
          <w:tcPr/>
          <w:p>
            <w:pPr>
              <w:spacing w:after="0"/>
            </w:pPr>
            <w:r>
              <w:rPr>
                <w:color w:val="1F2937"/>
                <w:sz w:val="18"/>
              </w:rPr>
              <w:t>Publikumsutvikling</w:t>
            </w:r>
          </w:p>
        </w:tc>
        <w:tc>
          <w:tcPr/>
          <w:p>
            <w:pPr>
              <w:spacing w:after="0"/>
            </w:pPr>
            <w:r>
              <w:rPr>
                <w:color w:val="1F2937"/>
                <w:sz w:val="18"/>
              </w:rPr>
              <w:t>Gjøre alpint mer tilgjengelig for et urbant publikum</w:t>
            </w:r>
          </w:p>
        </w:tc>
      </w:tr>
      <w:tr>
        <w:tc>
          <w:tcPr/>
          <w:p>
            <w:pPr>
              <w:spacing w:after="0"/>
            </w:pPr>
            <w:r>
              <w:rPr>
                <w:color w:val="1F2937"/>
                <w:sz w:val="18"/>
              </w:rPr>
              <w:t>Kommersiell verdi</w:t>
            </w:r>
          </w:p>
        </w:tc>
        <w:tc>
          <w:tcPr/>
          <w:p>
            <w:pPr>
              <w:spacing w:after="0"/>
            </w:pPr>
            <w:r>
              <w:rPr>
                <w:color w:val="1F2937"/>
                <w:sz w:val="18"/>
              </w:rPr>
              <w:t>Skape sponsor-, medie- og hospitality-muligheter</w:t>
            </w:r>
          </w:p>
        </w:tc>
      </w:tr>
      <w:tr>
        <w:tc>
          <w:tcPr/>
          <w:p>
            <w:pPr>
              <w:spacing w:after="0"/>
            </w:pPr>
            <w:r>
              <w:rPr>
                <w:color w:val="1F2937"/>
                <w:sz w:val="18"/>
              </w:rPr>
              <w:t>Lokal verdiskaping</w:t>
            </w:r>
          </w:p>
        </w:tc>
        <w:tc>
          <w:tcPr/>
          <w:p>
            <w:pPr>
              <w:spacing w:after="0"/>
            </w:pPr>
            <w:r>
              <w:rPr>
                <w:color w:val="1F2937"/>
                <w:sz w:val="18"/>
              </w:rPr>
              <w:t>Økt aktivitet for anlegg, leverandører, idrettslag og frivillighet</w:t>
            </w:r>
          </w:p>
        </w:tc>
      </w:tr>
      <w:tr>
        <w:tc>
          <w:tcPr/>
          <w:p>
            <w:pPr>
              <w:spacing w:after="0"/>
            </w:pPr>
            <w:r>
              <w:rPr>
                <w:color w:val="1F2937"/>
                <w:sz w:val="18"/>
              </w:rPr>
              <w:t>Omdømme</w:t>
            </w:r>
          </w:p>
        </w:tc>
        <w:tc>
          <w:tcPr/>
          <w:p>
            <w:pPr>
              <w:spacing w:after="0"/>
            </w:pPr>
            <w:r>
              <w:rPr>
                <w:color w:val="1F2937"/>
                <w:sz w:val="18"/>
              </w:rPr>
              <w:t>Profilere Oslo og Wyllerløypa som attraktiv vinterarena</w:t>
            </w:r>
          </w:p>
        </w:tc>
      </w:tr>
    </w:tbl>
    <w:p>
      <w:pPr>
        <w:spacing w:after="120" w:line="276" w:lineRule="auto"/>
      </w:pPr>
      <w:r>
        <w:rPr>
          <w:sz w:val="21"/>
        </w:rPr>
        <w:t/>
      </w:r>
    </w:p>
    <w:p>
      <w:pPr>
        <w:spacing w:before="280" w:after="100"/>
        <w:keepNext/>
      </w:pPr>
      <w:r>
        <w:rPr>
          <w:b/>
          <w:color w:val="12355B"/>
          <w:sz w:val="26"/>
        </w:rPr>
        <w:t>Strategisk samsvar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Strategisk mål</w:t>
            </w:r>
          </w:p>
        </w:tc>
        <w:tc>
          <w:tcPr>
            <w:shd w:fill="12355B"/>
          </w:tcPr>
          <w:p>
            <w:pPr>
              <w:spacing w:after="0"/>
            </w:pPr>
            <w:r>
              <w:rPr>
                <w:b/>
                <w:color w:val="FFFFFF"/>
                <w:sz w:val="18"/>
              </w:rPr>
              <w:t>Hvordan prosjektet bidrar</w:t>
            </w:r>
          </w:p>
        </w:tc>
      </w:tr>
      <w:tr>
        <w:tc>
          <w:tcPr/>
          <w:p>
            <w:pPr>
              <w:spacing w:after="0"/>
            </w:pPr>
            <w:r>
              <w:rPr>
                <w:color w:val="1F2937"/>
                <w:sz w:val="18"/>
              </w:rPr>
              <w:t>Styrke norsk alpint</w:t>
            </w:r>
          </w:p>
        </w:tc>
        <w:tc>
          <w:tcPr/>
          <w:p>
            <w:pPr>
              <w:spacing w:after="0"/>
            </w:pPr>
            <w:r>
              <w:rPr>
                <w:color w:val="1F2937"/>
                <w:sz w:val="18"/>
              </w:rPr>
              <w:t>Internasjonal konkurranse på hjemmebane</w:t>
            </w:r>
          </w:p>
        </w:tc>
      </w:tr>
      <w:tr>
        <w:tc>
          <w:tcPr/>
          <w:p>
            <w:pPr>
              <w:spacing w:after="0"/>
            </w:pPr>
            <w:r>
              <w:rPr>
                <w:color w:val="1F2937"/>
                <w:sz w:val="18"/>
              </w:rPr>
              <w:t>Øke rekruttering</w:t>
            </w:r>
          </w:p>
        </w:tc>
        <w:tc>
          <w:tcPr/>
          <w:p>
            <w:pPr>
              <w:spacing w:after="0"/>
            </w:pPr>
            <w:r>
              <w:rPr>
                <w:color w:val="1F2937"/>
                <w:sz w:val="18"/>
              </w:rPr>
              <w:t>Synlighet, lokale klubbtiltak og publikumsaktivering</w:t>
            </w:r>
          </w:p>
        </w:tc>
      </w:tr>
      <w:tr>
        <w:tc>
          <w:tcPr/>
          <w:p>
            <w:pPr>
              <w:spacing w:after="0"/>
            </w:pPr>
            <w:r>
              <w:rPr>
                <w:color w:val="1F2937"/>
                <w:sz w:val="18"/>
              </w:rPr>
              <w:t>Utvikle Oslo som vinterby</w:t>
            </w:r>
          </w:p>
        </w:tc>
        <w:tc>
          <w:tcPr/>
          <w:p>
            <w:pPr>
              <w:spacing w:after="0"/>
            </w:pPr>
            <w:r>
              <w:rPr>
                <w:color w:val="1F2937"/>
                <w:sz w:val="18"/>
              </w:rPr>
              <w:t>Internasjonal medieeksponering og publikumsarrangement</w:t>
            </w:r>
          </w:p>
        </w:tc>
      </w:tr>
      <w:tr>
        <w:tc>
          <w:tcPr/>
          <w:p>
            <w:pPr>
              <w:spacing w:after="0"/>
            </w:pPr>
            <w:r>
              <w:rPr>
                <w:color w:val="1F2937"/>
                <w:sz w:val="18"/>
              </w:rPr>
              <w:t>Skape bærekraftige arrangementer</w:t>
            </w:r>
          </w:p>
        </w:tc>
        <w:tc>
          <w:tcPr/>
          <w:p>
            <w:pPr>
              <w:spacing w:after="0"/>
            </w:pPr>
            <w:r>
              <w:rPr>
                <w:color w:val="1F2937"/>
                <w:sz w:val="18"/>
              </w:rPr>
              <w:t>Kollektivtransport, avfallsstyring og ansvarlige innkjøp</w:t>
            </w:r>
          </w:p>
        </w:tc>
      </w:tr>
      <w:tr>
        <w:tc>
          <w:tcPr/>
          <w:p>
            <w:pPr>
              <w:spacing w:after="0"/>
            </w:pPr>
            <w:r>
              <w:rPr>
                <w:color w:val="1F2937"/>
                <w:sz w:val="18"/>
              </w:rPr>
              <w:t>Øke kommersiell attraktivitet</w:t>
            </w:r>
          </w:p>
        </w:tc>
        <w:tc>
          <w:tcPr/>
          <w:p>
            <w:pPr>
              <w:spacing w:after="0"/>
            </w:pPr>
            <w:r>
              <w:rPr>
                <w:color w:val="1F2937"/>
                <w:sz w:val="18"/>
              </w:rPr>
              <w:t>Sponsorflater, TV-produkt, hospitality og merkevarebygging</w:t>
            </w:r>
          </w:p>
        </w:tc>
      </w:tr>
    </w:tbl>
    <w:p>
      <w:pPr>
        <w:spacing w:after="120" w:line="276" w:lineRule="auto"/>
      </w:pPr>
      <w:r>
        <w:rPr>
          <w:sz w:val="21"/>
        </w:rPr>
        <w:t/>
      </w:r>
    </w:p>
    <w:p>
      <w:pPr>
        <w:spacing w:before="280" w:after="100"/>
        <w:keepNext/>
      </w:pPr>
      <w:r>
        <w:rPr>
          <w:b/>
          <w:color w:val="12355B"/>
          <w:sz w:val="26"/>
        </w:rPr>
        <w:t>Alternativer</w:t>
      </w:r>
    </w:p>
    <w:p>
      <w:pPr>
        <w:spacing w:after="120" w:line="276" w:lineRule="auto"/>
      </w:pPr>
      <w:r>
        <w:rPr>
          <w:sz w:val="21"/>
        </w:rPr>
        <w:t>PRINCE2 krever at business case-et vurderer reelle alternativer, inkludert å ikke gjennomføre prosjektet.</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gridCol w:w="2200"/>
        <w:gridCol w:w="2200"/>
      </w:tblGrid>
      <w:tr>
        <w:tc>
          <w:tcPr>
            <w:shd w:fill="12355B"/>
          </w:tcPr>
          <w:p>
            <w:pPr>
              <w:spacing w:after="0"/>
            </w:pPr>
            <w:r>
              <w:rPr>
                <w:b/>
                <w:color w:val="FFFFFF"/>
                <w:sz w:val="18"/>
              </w:rPr>
              <w:t>Alternativ</w:t>
            </w:r>
          </w:p>
        </w:tc>
        <w:tc>
          <w:tcPr>
            <w:shd w:fill="12355B"/>
          </w:tcPr>
          <w:p>
            <w:pPr>
              <w:spacing w:after="0"/>
            </w:pPr>
            <w:r>
              <w:rPr>
                <w:b/>
                <w:color w:val="FFFFFF"/>
                <w:sz w:val="18"/>
              </w:rPr>
              <w:t>Beskrivelse</w:t>
            </w:r>
          </w:p>
        </w:tc>
        <w:tc>
          <w:tcPr>
            <w:shd w:fill="12355B"/>
          </w:tcPr>
          <w:p>
            <w:pPr>
              <w:spacing w:after="0"/>
            </w:pPr>
            <w:r>
              <w:rPr>
                <w:b/>
                <w:color w:val="FFFFFF"/>
                <w:sz w:val="18"/>
              </w:rPr>
              <w:t>Fordeler</w:t>
            </w:r>
          </w:p>
        </w:tc>
        <w:tc>
          <w:tcPr>
            <w:shd w:fill="12355B"/>
          </w:tcPr>
          <w:p>
            <w:pPr>
              <w:spacing w:after="0"/>
            </w:pPr>
            <w:r>
              <w:rPr>
                <w:b/>
                <w:color w:val="FFFFFF"/>
                <w:sz w:val="18"/>
              </w:rPr>
              <w:t>Ulemper</w:t>
            </w:r>
          </w:p>
        </w:tc>
        <w:tc>
          <w:tcPr>
            <w:shd w:fill="12355B"/>
          </w:tcPr>
          <w:p>
            <w:pPr>
              <w:spacing w:after="0"/>
            </w:pPr>
            <w:r>
              <w:rPr>
                <w:b/>
                <w:color w:val="FFFFFF"/>
                <w:sz w:val="18"/>
              </w:rPr>
              <w:t>Foreløpig vurdering</w:t>
            </w:r>
          </w:p>
        </w:tc>
      </w:tr>
      <w:tr>
        <w:tc>
          <w:tcPr/>
          <w:p>
            <w:pPr>
              <w:spacing w:after="0"/>
            </w:pPr>
            <w:r>
              <w:rPr>
                <w:color w:val="1F2937"/>
                <w:sz w:val="18"/>
              </w:rPr>
              <w:t>0. Ikke gjennomføre</w:t>
            </w:r>
          </w:p>
        </w:tc>
        <w:tc>
          <w:tcPr/>
          <w:p>
            <w:pPr>
              <w:spacing w:after="0"/>
            </w:pPr>
            <w:r>
              <w:rPr>
                <w:color w:val="1F2937"/>
                <w:sz w:val="18"/>
              </w:rPr>
              <w:t>Ingen World Cup i Wyller 2028</w:t>
            </w:r>
          </w:p>
        </w:tc>
        <w:tc>
          <w:tcPr/>
          <w:p>
            <w:pPr>
              <w:spacing w:after="0"/>
            </w:pPr>
            <w:r>
              <w:rPr>
                <w:color w:val="1F2937"/>
                <w:sz w:val="18"/>
              </w:rPr>
              <w:t>Ingen økonomisk risiko</w:t>
            </w:r>
          </w:p>
        </w:tc>
        <w:tc>
          <w:tcPr/>
          <w:p>
            <w:pPr>
              <w:spacing w:after="0"/>
            </w:pPr>
            <w:r>
              <w:rPr>
                <w:color w:val="1F2937"/>
                <w:sz w:val="18"/>
              </w:rPr>
              <w:t>Tapt sportslig, kommersiell og lokal effekt</w:t>
            </w:r>
          </w:p>
        </w:tc>
        <w:tc>
          <w:tcPr/>
          <w:p>
            <w:pPr>
              <w:spacing w:after="0"/>
            </w:pPr>
            <w:r>
              <w:rPr>
                <w:color w:val="1F2937"/>
                <w:sz w:val="18"/>
              </w:rPr>
              <w:t>Ikke anbefalt hvis finansiering og arena er realistisk</w:t>
            </w:r>
          </w:p>
        </w:tc>
      </w:tr>
      <w:tr>
        <w:tc>
          <w:tcPr/>
          <w:p>
            <w:pPr>
              <w:spacing w:after="0"/>
            </w:pPr>
            <w:r>
              <w:rPr>
                <w:color w:val="1F2937"/>
                <w:sz w:val="18"/>
              </w:rPr>
              <w:t>1. Full World Cup</w:t>
            </w:r>
          </w:p>
        </w:tc>
        <w:tc>
          <w:tcPr/>
          <w:p>
            <w:pPr>
              <w:spacing w:after="0"/>
            </w:pPr>
            <w:r>
              <w:rPr>
                <w:color w:val="1F2937"/>
                <w:sz w:val="18"/>
              </w:rPr>
              <w:t>Slalåm og parallellslalåm for kvinner og menn</w:t>
            </w:r>
          </w:p>
        </w:tc>
        <w:tc>
          <w:tcPr/>
          <w:p>
            <w:pPr>
              <w:spacing w:after="0"/>
            </w:pPr>
            <w:r>
              <w:rPr>
                <w:color w:val="1F2937"/>
                <w:sz w:val="18"/>
              </w:rPr>
              <w:t>Maksimal sportslig og kommersiell verdi</w:t>
            </w:r>
          </w:p>
        </w:tc>
        <w:tc>
          <w:tcPr/>
          <w:p>
            <w:pPr>
              <w:spacing w:after="0"/>
            </w:pPr>
            <w:r>
              <w:rPr>
                <w:color w:val="1F2937"/>
                <w:sz w:val="18"/>
              </w:rPr>
              <w:t>Høy kompleksitet og kostnad</w:t>
            </w:r>
          </w:p>
        </w:tc>
        <w:tc>
          <w:tcPr/>
          <w:p>
            <w:pPr>
              <w:spacing w:after="0"/>
            </w:pPr>
            <w:r>
              <w:rPr>
                <w:color w:val="1F2937"/>
                <w:sz w:val="18"/>
              </w:rPr>
              <w:t>Anbefalt hovedalternativ</w:t>
            </w:r>
          </w:p>
        </w:tc>
      </w:tr>
      <w:tr>
        <w:tc>
          <w:tcPr/>
          <w:p>
            <w:pPr>
              <w:spacing w:after="0"/>
            </w:pPr>
            <w:r>
              <w:rPr>
                <w:color w:val="1F2937"/>
                <w:sz w:val="18"/>
              </w:rPr>
              <w:t>2. Redusert format</w:t>
            </w:r>
          </w:p>
        </w:tc>
        <w:tc>
          <w:tcPr/>
          <w:p>
            <w:pPr>
              <w:spacing w:after="0"/>
            </w:pPr>
            <w:r>
              <w:rPr>
                <w:color w:val="1F2937"/>
                <w:sz w:val="18"/>
              </w:rPr>
              <w:t>Færre konkurranser eller én disiplin</w:t>
            </w:r>
          </w:p>
        </w:tc>
        <w:tc>
          <w:tcPr/>
          <w:p>
            <w:pPr>
              <w:spacing w:after="0"/>
            </w:pPr>
            <w:r>
              <w:rPr>
                <w:color w:val="1F2937"/>
                <w:sz w:val="18"/>
              </w:rPr>
              <w:t>Lavere kostnad og risiko</w:t>
            </w:r>
          </w:p>
        </w:tc>
        <w:tc>
          <w:tcPr/>
          <w:p>
            <w:pPr>
              <w:spacing w:after="0"/>
            </w:pPr>
            <w:r>
              <w:rPr>
                <w:color w:val="1F2937"/>
                <w:sz w:val="18"/>
              </w:rPr>
              <w:t>Mindre TV-/publikumsverdi</w:t>
            </w:r>
          </w:p>
        </w:tc>
        <w:tc>
          <w:tcPr/>
          <w:p>
            <w:pPr>
              <w:spacing w:after="0"/>
            </w:pPr>
            <w:r>
              <w:rPr>
                <w:color w:val="1F2937"/>
                <w:sz w:val="18"/>
              </w:rPr>
              <w:t>Reservealternativ</w:t>
            </w:r>
          </w:p>
        </w:tc>
      </w:tr>
      <w:tr>
        <w:tc>
          <w:tcPr/>
          <w:p>
            <w:pPr>
              <w:spacing w:after="0"/>
            </w:pPr>
            <w:r>
              <w:rPr>
                <w:color w:val="1F2937"/>
                <w:sz w:val="18"/>
              </w:rPr>
              <w:t>3. Test event / lavere nivå</w:t>
            </w:r>
          </w:p>
        </w:tc>
        <w:tc>
          <w:tcPr/>
          <w:p>
            <w:pPr>
              <w:spacing w:after="0"/>
            </w:pPr>
            <w:r>
              <w:rPr>
                <w:color w:val="1F2937"/>
                <w:sz w:val="18"/>
              </w:rPr>
              <w:t>Europacup/NM-lignende format først</w:t>
            </w:r>
          </w:p>
        </w:tc>
        <w:tc>
          <w:tcPr/>
          <w:p>
            <w:pPr>
              <w:spacing w:after="0"/>
            </w:pPr>
            <w:r>
              <w:rPr>
                <w:color w:val="1F2937"/>
                <w:sz w:val="18"/>
              </w:rPr>
              <w:t>Lavere risiko, læring før World Cup</w:t>
            </w:r>
          </w:p>
        </w:tc>
        <w:tc>
          <w:tcPr/>
          <w:p>
            <w:pPr>
              <w:spacing w:after="0"/>
            </w:pPr>
            <w:r>
              <w:rPr>
                <w:color w:val="1F2937"/>
                <w:sz w:val="18"/>
              </w:rPr>
              <w:t>Lavere internasjonal verdi</w:t>
            </w:r>
          </w:p>
        </w:tc>
        <w:tc>
          <w:tcPr/>
          <w:p>
            <w:pPr>
              <w:spacing w:after="0"/>
            </w:pPr>
            <w:r>
              <w:rPr>
                <w:color w:val="1F2937"/>
                <w:sz w:val="18"/>
              </w:rPr>
              <w:t>Aktuelt som forberedende tiltak</w:t>
            </w:r>
          </w:p>
        </w:tc>
      </w:tr>
    </w:tbl>
    <w:p>
      <w:pPr>
        <w:spacing w:after="120" w:line="276" w:lineRule="auto"/>
      </w:pPr>
      <w:r>
        <w:rPr>
          <w:sz w:val="21"/>
        </w:rPr>
        <w:t/>
      </w:r>
    </w:p>
    <w:p>
      <w:pPr>
        <w:spacing w:before="280" w:after="100"/>
        <w:keepNext/>
      </w:pPr>
      <w:r>
        <w:rPr>
          <w:b/>
          <w:color w:val="12355B"/>
          <w:sz w:val="26"/>
        </w:rPr>
        <w:t>Forventede gevinster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gridCol w:w="2200"/>
      </w:tblGrid>
      <w:tr>
        <w:tc>
          <w:tcPr>
            <w:shd w:fill="12355B"/>
          </w:tcPr>
          <w:p>
            <w:pPr>
              <w:spacing w:after="0"/>
            </w:pPr>
            <w:r>
              <w:rPr>
                <w:b/>
                <w:color w:val="FFFFFF"/>
                <w:sz w:val="18"/>
              </w:rPr>
              <w:t>Gevinst</w:t>
            </w:r>
          </w:p>
        </w:tc>
        <w:tc>
          <w:tcPr>
            <w:shd w:fill="12355B"/>
          </w:tcPr>
          <w:p>
            <w:pPr>
              <w:spacing w:after="0"/>
            </w:pPr>
            <w:r>
              <w:rPr>
                <w:b/>
                <w:color w:val="FFFFFF"/>
                <w:sz w:val="18"/>
              </w:rPr>
              <w:t>Måleindikator</w:t>
            </w:r>
          </w:p>
        </w:tc>
        <w:tc>
          <w:tcPr>
            <w:shd w:fill="12355B"/>
          </w:tcPr>
          <w:p>
            <w:pPr>
              <w:spacing w:after="0"/>
            </w:pPr>
            <w:r>
              <w:rPr>
                <w:b/>
                <w:color w:val="FFFFFF"/>
                <w:sz w:val="18"/>
              </w:rPr>
              <w:t>Måltall / ambisjon</w:t>
            </w:r>
          </w:p>
        </w:tc>
        <w:tc>
          <w:tcPr>
            <w:shd w:fill="12355B"/>
          </w:tcPr>
          <w:p>
            <w:pPr>
              <w:spacing w:after="0"/>
            </w:pPr>
            <w:r>
              <w:rPr>
                <w:b/>
                <w:color w:val="FFFFFF"/>
                <w:sz w:val="18"/>
              </w:rPr>
              <w:t>Gevinsteier</w:t>
            </w:r>
          </w:p>
        </w:tc>
      </w:tr>
      <w:tr>
        <w:tc>
          <w:tcPr/>
          <w:p>
            <w:pPr>
              <w:spacing w:after="0"/>
            </w:pPr>
            <w:r>
              <w:rPr>
                <w:color w:val="1F2937"/>
                <w:sz w:val="18"/>
              </w:rPr>
              <w:t>Internasjonal synlighet</w:t>
            </w:r>
          </w:p>
        </w:tc>
        <w:tc>
          <w:tcPr/>
          <w:p>
            <w:pPr>
              <w:spacing w:after="0"/>
            </w:pPr>
            <w:r>
              <w:rPr>
                <w:color w:val="1F2937"/>
                <w:sz w:val="18"/>
              </w:rPr>
              <w:t>TV-seere, presseoppslag, SoMe-reach</w:t>
            </w:r>
          </w:p>
        </w:tc>
        <w:tc>
          <w:tcPr/>
          <w:p>
            <w:pPr>
              <w:spacing w:after="0"/>
            </w:pPr>
            <w:r>
              <w:rPr>
                <w:color w:val="1F2937"/>
                <w:sz w:val="18"/>
              </w:rPr>
              <w:t>Defineres etter rettighets-/medieplan</w:t>
            </w:r>
          </w:p>
        </w:tc>
        <w:tc>
          <w:tcPr/>
          <w:p>
            <w:pPr>
              <w:spacing w:after="0"/>
            </w:pPr>
            <w:r>
              <w:rPr>
                <w:color w:val="1F2937"/>
                <w:sz w:val="18"/>
              </w:rPr>
              <w:t>Kommunikasjon / arrangør</w:t>
            </w:r>
          </w:p>
        </w:tc>
      </w:tr>
      <w:tr>
        <w:tc>
          <w:tcPr/>
          <w:p>
            <w:pPr>
              <w:spacing w:after="0"/>
            </w:pPr>
            <w:r>
              <w:rPr>
                <w:color w:val="1F2937"/>
                <w:sz w:val="18"/>
              </w:rPr>
              <w:t>Økt publikum</w:t>
            </w:r>
          </w:p>
        </w:tc>
        <w:tc>
          <w:tcPr/>
          <w:p>
            <w:pPr>
              <w:spacing w:after="0"/>
            </w:pPr>
            <w:r>
              <w:rPr>
                <w:color w:val="1F2937"/>
                <w:sz w:val="18"/>
              </w:rPr>
              <w:t>Billettsalg / kapasitet</w:t>
            </w:r>
          </w:p>
        </w:tc>
        <w:tc>
          <w:tcPr/>
          <w:p>
            <w:pPr>
              <w:spacing w:after="0"/>
            </w:pPr>
            <w:r>
              <w:rPr>
                <w:color w:val="1F2937"/>
                <w:sz w:val="18"/>
              </w:rPr>
              <w:t>90-100 % av publikumsbudsjett</w:t>
            </w:r>
          </w:p>
        </w:tc>
        <w:tc>
          <w:tcPr/>
          <w:p>
            <w:pPr>
              <w:spacing w:after="0"/>
            </w:pPr>
            <w:r>
              <w:rPr>
                <w:color w:val="1F2937"/>
                <w:sz w:val="18"/>
              </w:rPr>
              <w:t>Publikum / marked</w:t>
            </w:r>
          </w:p>
        </w:tc>
      </w:tr>
      <w:tr>
        <w:tc>
          <w:tcPr/>
          <w:p>
            <w:pPr>
              <w:spacing w:after="0"/>
            </w:pPr>
            <w:r>
              <w:rPr>
                <w:color w:val="1F2937"/>
                <w:sz w:val="18"/>
              </w:rPr>
              <w:t>Økte sponsorinntekter</w:t>
            </w:r>
          </w:p>
        </w:tc>
        <w:tc>
          <w:tcPr/>
          <w:p>
            <w:pPr>
              <w:spacing w:after="0"/>
            </w:pPr>
            <w:r>
              <w:rPr>
                <w:color w:val="1F2937"/>
                <w:sz w:val="18"/>
              </w:rPr>
              <w:t>Signerte sponsoravtaler</w:t>
            </w:r>
          </w:p>
        </w:tc>
        <w:tc>
          <w:tcPr/>
          <w:p>
            <w:pPr>
              <w:spacing w:after="0"/>
            </w:pPr>
            <w:r>
              <w:rPr>
                <w:color w:val="1F2937"/>
                <w:sz w:val="18"/>
              </w:rPr>
              <w:t>100 % av sponsorbudsjett innen T-6 mnd</w:t>
            </w:r>
          </w:p>
        </w:tc>
        <w:tc>
          <w:tcPr/>
          <w:p>
            <w:pPr>
              <w:spacing w:after="0"/>
            </w:pPr>
            <w:r>
              <w:rPr>
                <w:color w:val="1F2937"/>
                <w:sz w:val="18"/>
              </w:rPr>
              <w:t>Kommersiell leder</w:t>
            </w:r>
          </w:p>
        </w:tc>
      </w:tr>
      <w:tr>
        <w:tc>
          <w:tcPr/>
          <w:p>
            <w:pPr>
              <w:spacing w:after="0"/>
            </w:pPr>
            <w:r>
              <w:rPr>
                <w:color w:val="1F2937"/>
                <w:sz w:val="18"/>
              </w:rPr>
              <w:t>Lokal rekruttering</w:t>
            </w:r>
          </w:p>
        </w:tc>
        <w:tc>
          <w:tcPr/>
          <w:p>
            <w:pPr>
              <w:spacing w:after="0"/>
            </w:pPr>
            <w:r>
              <w:rPr>
                <w:color w:val="1F2937"/>
                <w:sz w:val="18"/>
              </w:rPr>
              <w:t>Klubbaktiviteter, barn/unge-tiltak</w:t>
            </w:r>
          </w:p>
        </w:tc>
        <w:tc>
          <w:tcPr/>
          <w:p>
            <w:pPr>
              <w:spacing w:after="0"/>
            </w:pPr>
            <w:r>
              <w:rPr>
                <w:color w:val="1F2937"/>
                <w:sz w:val="18"/>
              </w:rPr>
              <w:t>Min. 3-5 lokale aktiveringer</w:t>
            </w:r>
          </w:p>
        </w:tc>
        <w:tc>
          <w:tcPr/>
          <w:p>
            <w:pPr>
              <w:spacing w:after="0"/>
            </w:pPr>
            <w:r>
              <w:rPr>
                <w:color w:val="1F2937"/>
                <w:sz w:val="18"/>
              </w:rPr>
              <w:t>Lokal idrett</w:t>
            </w:r>
          </w:p>
        </w:tc>
      </w:tr>
      <w:tr>
        <w:tc>
          <w:tcPr/>
          <w:p>
            <w:pPr>
              <w:spacing w:after="0"/>
            </w:pPr>
            <w:r>
              <w:rPr>
                <w:color w:val="1F2937"/>
                <w:sz w:val="18"/>
              </w:rPr>
              <w:t>Styrket anleggsprofil</w:t>
            </w:r>
          </w:p>
        </w:tc>
        <w:tc>
          <w:tcPr/>
          <w:p>
            <w:pPr>
              <w:spacing w:after="0"/>
            </w:pPr>
            <w:r>
              <w:rPr>
                <w:color w:val="1F2937"/>
                <w:sz w:val="18"/>
              </w:rPr>
              <w:t>Besøkstall etter arrangement</w:t>
            </w:r>
          </w:p>
        </w:tc>
        <w:tc>
          <w:tcPr/>
          <w:p>
            <w:pPr>
              <w:spacing w:after="0"/>
            </w:pPr>
            <w:r>
              <w:rPr>
                <w:color w:val="1F2937"/>
                <w:sz w:val="18"/>
              </w:rPr>
              <w:t>Økning mot baseline</w:t>
            </w:r>
          </w:p>
        </w:tc>
        <w:tc>
          <w:tcPr/>
          <w:p>
            <w:pPr>
              <w:spacing w:after="0"/>
            </w:pPr>
            <w:r>
              <w:rPr>
                <w:color w:val="1F2937"/>
                <w:sz w:val="18"/>
              </w:rPr>
              <w:t>Arena / Skimore</w:t>
            </w:r>
          </w:p>
        </w:tc>
      </w:tr>
      <w:tr>
        <w:tc>
          <w:tcPr/>
          <w:p>
            <w:pPr>
              <w:spacing w:after="0"/>
            </w:pPr>
            <w:r>
              <w:rPr>
                <w:color w:val="1F2937"/>
                <w:sz w:val="18"/>
              </w:rPr>
              <w:t>Frivillig kompetanse</w:t>
            </w:r>
          </w:p>
        </w:tc>
        <w:tc>
          <w:tcPr/>
          <w:p>
            <w:pPr>
              <w:spacing w:after="0"/>
            </w:pPr>
            <w:r>
              <w:rPr>
                <w:color w:val="1F2937"/>
                <w:sz w:val="18"/>
              </w:rPr>
              <w:t>Antall frivillige og tilfredshet</w:t>
            </w:r>
          </w:p>
        </w:tc>
        <w:tc>
          <w:tcPr/>
          <w:p>
            <w:pPr>
              <w:spacing w:after="0"/>
            </w:pPr>
            <w:r>
              <w:rPr>
                <w:color w:val="1F2937"/>
                <w:sz w:val="18"/>
              </w:rPr>
              <w:t>100 % kritiske vakter dekket, &gt;4,2/5 tilfredshet</w:t>
            </w:r>
          </w:p>
        </w:tc>
        <w:tc>
          <w:tcPr/>
          <w:p>
            <w:pPr>
              <w:spacing w:after="0"/>
            </w:pPr>
            <w:r>
              <w:rPr>
                <w:color w:val="1F2937"/>
                <w:sz w:val="18"/>
              </w:rPr>
              <w:t>Frivilligleder</w:t>
            </w:r>
          </w:p>
        </w:tc>
      </w:tr>
      <w:tr>
        <w:tc>
          <w:tcPr/>
          <w:p>
            <w:pPr>
              <w:spacing w:after="0"/>
            </w:pPr>
            <w:r>
              <w:rPr>
                <w:color w:val="1F2937"/>
                <w:sz w:val="18"/>
              </w:rPr>
              <w:t>Bærekraftig gjennomføring</w:t>
            </w:r>
          </w:p>
        </w:tc>
        <w:tc>
          <w:tcPr/>
          <w:p>
            <w:pPr>
              <w:spacing w:after="0"/>
            </w:pPr>
            <w:r>
              <w:rPr>
                <w:color w:val="1F2937"/>
                <w:sz w:val="18"/>
              </w:rPr>
              <w:t>Transportandel, sorteringsgrad</w:t>
            </w:r>
          </w:p>
        </w:tc>
        <w:tc>
          <w:tcPr/>
          <w:p>
            <w:pPr>
              <w:spacing w:after="0"/>
            </w:pPr>
            <w:r>
              <w:rPr>
                <w:color w:val="1F2937"/>
                <w:sz w:val="18"/>
              </w:rPr>
              <w:t>&gt;60 % kollektiv/shuttle, &gt;70 % sortering</w:t>
            </w:r>
          </w:p>
        </w:tc>
        <w:tc>
          <w:tcPr/>
          <w:p>
            <w:pPr>
              <w:spacing w:after="0"/>
            </w:pPr>
            <w:r>
              <w:rPr>
                <w:color w:val="1F2937"/>
                <w:sz w:val="18"/>
              </w:rPr>
              <w:t>Bærekraftsansvarlig</w:t>
            </w:r>
          </w:p>
        </w:tc>
      </w:tr>
    </w:tbl>
    <w:p>
      <w:pPr>
        <w:spacing w:after="120" w:line="276" w:lineRule="auto"/>
      </w:pPr>
      <w:r>
        <w:rPr>
          <w:sz w:val="21"/>
        </w:rPr>
        <w:t/>
      </w:r>
    </w:p>
    <w:p>
      <w:pPr>
        <w:spacing w:before="280" w:after="100"/>
        <w:keepNext/>
      </w:pPr>
      <w:r>
        <w:rPr>
          <w:b/>
          <w:color w:val="12355B"/>
          <w:sz w:val="26"/>
        </w:rPr>
        <w:t>Kostnadskategorier</w:t>
      </w:r>
    </w:p>
    <w:p>
      <w:pPr>
        <w:spacing w:after="120" w:line="276" w:lineRule="auto"/>
      </w:pPr>
      <w:r>
        <w:rPr>
          <w:sz w:val="21"/>
        </w:rPr>
        <w:t>Endelige beløp må settes etter konseptvalg, FIS-krav, leverandørpriser og arenaavtaler.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Kostnadskategori</w:t>
            </w:r>
          </w:p>
        </w:tc>
        <w:tc>
          <w:tcPr>
            <w:shd w:fill="12355B"/>
          </w:tcPr>
          <w:p>
            <w:pPr>
              <w:spacing w:after="0"/>
            </w:pPr>
            <w:r>
              <w:rPr>
                <w:b/>
                <w:color w:val="FFFFFF"/>
                <w:sz w:val="18"/>
              </w:rPr>
              <w:t>Innhold</w:t>
            </w:r>
          </w:p>
        </w:tc>
        <w:tc>
          <w:tcPr>
            <w:shd w:fill="12355B"/>
          </w:tcPr>
          <w:p>
            <w:pPr>
              <w:spacing w:after="0"/>
            </w:pPr>
            <w:r>
              <w:rPr>
                <w:b/>
                <w:color w:val="FFFFFF"/>
                <w:sz w:val="18"/>
              </w:rPr>
              <w:t>Kommentar</w:t>
            </w:r>
          </w:p>
        </w:tc>
      </w:tr>
      <w:tr>
        <w:tc>
          <w:tcPr/>
          <w:p>
            <w:pPr>
              <w:spacing w:after="0"/>
            </w:pPr>
            <w:r>
              <w:rPr>
                <w:color w:val="1F2937"/>
                <w:sz w:val="18"/>
              </w:rPr>
              <w:t>Sportslig gjennomføring</w:t>
            </w:r>
          </w:p>
        </w:tc>
        <w:tc>
          <w:tcPr/>
          <w:p>
            <w:pPr>
              <w:spacing w:after="0"/>
            </w:pPr>
            <w:r>
              <w:rPr>
                <w:color w:val="1F2937"/>
                <w:sz w:val="18"/>
              </w:rPr>
              <w:t>Løype, porter, tidtaking, teknisk delegat, jury, konkurransedrift</w:t>
            </w:r>
          </w:p>
        </w:tc>
        <w:tc>
          <w:tcPr/>
          <w:p>
            <w:pPr>
              <w:spacing w:after="0"/>
            </w:pPr>
            <w:r>
              <w:rPr>
                <w:color w:val="1F2937"/>
                <w:sz w:val="18"/>
              </w:rPr>
              <w:t>Kritisk kvalitetspost</w:t>
            </w:r>
          </w:p>
        </w:tc>
      </w:tr>
      <w:tr>
        <w:tc>
          <w:tcPr/>
          <w:p>
            <w:pPr>
              <w:spacing w:after="0"/>
            </w:pPr>
            <w:r>
              <w:rPr>
                <w:color w:val="1F2937"/>
                <w:sz w:val="18"/>
              </w:rPr>
              <w:t>Arena og rigg</w:t>
            </w:r>
          </w:p>
        </w:tc>
        <w:tc>
          <w:tcPr/>
          <w:p>
            <w:pPr>
              <w:spacing w:after="0"/>
            </w:pPr>
            <w:r>
              <w:rPr>
                <w:color w:val="1F2937"/>
                <w:sz w:val="18"/>
              </w:rPr>
              <w:t>Tribuner, målområde, strøm, lys, snø, sikring, skilt, gjerder</w:t>
            </w:r>
          </w:p>
        </w:tc>
        <w:tc>
          <w:tcPr/>
          <w:p>
            <w:pPr>
              <w:spacing w:after="0"/>
            </w:pPr>
            <w:r>
              <w:rPr>
                <w:color w:val="1F2937"/>
                <w:sz w:val="18"/>
              </w:rPr>
              <w:t>Høy operativ risiko</w:t>
            </w:r>
          </w:p>
        </w:tc>
      </w:tr>
      <w:tr>
        <w:tc>
          <w:tcPr/>
          <w:p>
            <w:pPr>
              <w:spacing w:after="0"/>
            </w:pPr>
            <w:r>
              <w:rPr>
                <w:color w:val="1F2937"/>
                <w:sz w:val="18"/>
              </w:rPr>
              <w:t>TV og media</w:t>
            </w:r>
          </w:p>
        </w:tc>
        <w:tc>
          <w:tcPr/>
          <w:p>
            <w:pPr>
              <w:spacing w:after="0"/>
            </w:pPr>
            <w:r>
              <w:rPr>
                <w:color w:val="1F2937"/>
                <w:sz w:val="18"/>
              </w:rPr>
              <w:t>Kameraposisjoner, pressefasiliteter, mixed zone, infrastruktur</w:t>
            </w:r>
          </w:p>
        </w:tc>
        <w:tc>
          <w:tcPr/>
          <w:p>
            <w:pPr>
              <w:spacing w:after="0"/>
            </w:pPr>
            <w:r>
              <w:rPr>
                <w:color w:val="1F2937"/>
                <w:sz w:val="18"/>
              </w:rPr>
              <w:t>Avhenger av rettighetshaver</w:t>
            </w:r>
          </w:p>
        </w:tc>
      </w:tr>
      <w:tr>
        <w:tc>
          <w:tcPr/>
          <w:p>
            <w:pPr>
              <w:spacing w:after="0"/>
            </w:pPr>
            <w:r>
              <w:rPr>
                <w:color w:val="1F2937"/>
                <w:sz w:val="18"/>
              </w:rPr>
              <w:t>Sikkerhet og beredskap</w:t>
            </w:r>
          </w:p>
        </w:tc>
        <w:tc>
          <w:tcPr/>
          <w:p>
            <w:pPr>
              <w:spacing w:after="0"/>
            </w:pPr>
            <w:r>
              <w:rPr>
                <w:color w:val="1F2937"/>
                <w:sz w:val="18"/>
              </w:rPr>
              <w:t>Vakthold, helse, politi, evakuering, risikoanalyser</w:t>
            </w:r>
          </w:p>
        </w:tc>
        <w:tc>
          <w:tcPr/>
          <w:p>
            <w:pPr>
              <w:spacing w:after="0"/>
            </w:pPr>
            <w:r>
              <w:rPr>
                <w:color w:val="1F2937"/>
                <w:sz w:val="18"/>
              </w:rPr>
              <w:t>Nulltoleranse for alvorlige avvik</w:t>
            </w:r>
          </w:p>
        </w:tc>
      </w:tr>
      <w:tr>
        <w:tc>
          <w:tcPr/>
          <w:p>
            <w:pPr>
              <w:spacing w:after="0"/>
            </w:pPr>
            <w:r>
              <w:rPr>
                <w:color w:val="1F2937"/>
                <w:sz w:val="18"/>
              </w:rPr>
              <w:t>Publikum og logistikk</w:t>
            </w:r>
          </w:p>
        </w:tc>
        <w:tc>
          <w:tcPr/>
          <w:p>
            <w:pPr>
              <w:spacing w:after="0"/>
            </w:pPr>
            <w:r>
              <w:rPr>
                <w:color w:val="1F2937"/>
                <w:sz w:val="18"/>
              </w:rPr>
              <w:t>Transport, shuttle, billettsystem, publikumsflyt, toaletter, servering</w:t>
            </w:r>
          </w:p>
        </w:tc>
        <w:tc>
          <w:tcPr/>
          <w:p>
            <w:pPr>
              <w:spacing w:after="0"/>
            </w:pPr>
            <w:r>
              <w:rPr>
                <w:color w:val="1F2937"/>
                <w:sz w:val="18"/>
              </w:rPr>
              <w:t>Kritisk for opplevelse</w:t>
            </w:r>
          </w:p>
        </w:tc>
      </w:tr>
      <w:tr>
        <w:tc>
          <w:tcPr/>
          <w:p>
            <w:pPr>
              <w:spacing w:after="0"/>
            </w:pPr>
            <w:r>
              <w:rPr>
                <w:color w:val="1F2937"/>
                <w:sz w:val="18"/>
              </w:rPr>
              <w:t>Frivillige</w:t>
            </w:r>
          </w:p>
        </w:tc>
        <w:tc>
          <w:tcPr/>
          <w:p>
            <w:pPr>
              <w:spacing w:after="0"/>
            </w:pPr>
            <w:r>
              <w:rPr>
                <w:color w:val="1F2937"/>
                <w:sz w:val="18"/>
              </w:rPr>
              <w:t>Rekruttering, klær, mat, opplæring, akkreditering</w:t>
            </w:r>
          </w:p>
        </w:tc>
        <w:tc>
          <w:tcPr/>
          <w:p>
            <w:pPr>
              <w:spacing w:after="0"/>
            </w:pPr>
            <w:r>
              <w:rPr>
                <w:color w:val="1F2937"/>
                <w:sz w:val="18"/>
              </w:rPr>
              <w:t>Må planlegges tidlig</w:t>
            </w:r>
          </w:p>
        </w:tc>
      </w:tr>
      <w:tr>
        <w:tc>
          <w:tcPr/>
          <w:p>
            <w:pPr>
              <w:spacing w:after="0"/>
            </w:pPr>
            <w:r>
              <w:rPr>
                <w:color w:val="1F2937"/>
                <w:sz w:val="18"/>
              </w:rPr>
              <w:t>Marked og kommunikasjon</w:t>
            </w:r>
          </w:p>
        </w:tc>
        <w:tc>
          <w:tcPr/>
          <w:p>
            <w:pPr>
              <w:spacing w:after="0"/>
            </w:pPr>
            <w:r>
              <w:rPr>
                <w:color w:val="1F2937"/>
                <w:sz w:val="18"/>
              </w:rPr>
              <w:t>Profil, kampanjer, presse, SoMe, sponsoraktivering</w:t>
            </w:r>
          </w:p>
        </w:tc>
        <w:tc>
          <w:tcPr/>
          <w:p>
            <w:pPr>
              <w:spacing w:after="0"/>
            </w:pPr>
            <w:r>
              <w:rPr>
                <w:color w:val="1F2937"/>
                <w:sz w:val="18"/>
              </w:rPr>
              <w:t>Driver inntekter</w:t>
            </w:r>
          </w:p>
        </w:tc>
      </w:tr>
      <w:tr>
        <w:tc>
          <w:tcPr/>
          <w:p>
            <w:pPr>
              <w:spacing w:after="0"/>
            </w:pPr>
            <w:r>
              <w:rPr>
                <w:color w:val="1F2937"/>
                <w:sz w:val="18"/>
              </w:rPr>
              <w:t>Prosjektledelse</w:t>
            </w:r>
          </w:p>
        </w:tc>
        <w:tc>
          <w:tcPr/>
          <w:p>
            <w:pPr>
              <w:spacing w:after="0"/>
            </w:pPr>
            <w:r>
              <w:rPr>
                <w:color w:val="1F2937"/>
                <w:sz w:val="18"/>
              </w:rPr>
              <w:t>Prosjektteam, administrasjon, rapportering, juridisk, økonomi</w:t>
            </w:r>
          </w:p>
        </w:tc>
        <w:tc>
          <w:tcPr/>
          <w:p>
            <w:pPr>
              <w:spacing w:after="0"/>
            </w:pPr>
            <w:r>
              <w:rPr>
                <w:color w:val="1F2937"/>
                <w:sz w:val="18"/>
              </w:rPr>
              <w:t>Må ha tydelig mandat</w:t>
            </w:r>
          </w:p>
        </w:tc>
      </w:tr>
      <w:tr>
        <w:tc>
          <w:tcPr/>
          <w:p>
            <w:pPr>
              <w:spacing w:after="0"/>
            </w:pPr>
            <w:r>
              <w:rPr>
                <w:color w:val="1F2937"/>
                <w:sz w:val="18"/>
              </w:rPr>
              <w:t>Bærekraft</w:t>
            </w:r>
          </w:p>
        </w:tc>
        <w:tc>
          <w:tcPr/>
          <w:p>
            <w:pPr>
              <w:spacing w:after="0"/>
            </w:pPr>
            <w:r>
              <w:rPr>
                <w:color w:val="1F2937"/>
                <w:sz w:val="18"/>
              </w:rPr>
              <w:t>Avfall, måling, miljøtiltak, rapportering</w:t>
            </w:r>
          </w:p>
        </w:tc>
        <w:tc>
          <w:tcPr/>
          <w:p>
            <w:pPr>
              <w:spacing w:after="0"/>
            </w:pPr>
            <w:r>
              <w:rPr>
                <w:color w:val="1F2937"/>
                <w:sz w:val="18"/>
              </w:rPr>
              <w:t>PRINCE2 7-relevant styringsområde</w:t>
            </w:r>
          </w:p>
        </w:tc>
      </w:tr>
      <w:tr>
        <w:tc>
          <w:tcPr/>
          <w:p>
            <w:pPr>
              <w:spacing w:after="0"/>
            </w:pPr>
            <w:r>
              <w:rPr>
                <w:color w:val="1F2937"/>
                <w:sz w:val="18"/>
              </w:rPr>
              <w:t>Reserve / usikkerhet</w:t>
            </w:r>
          </w:p>
        </w:tc>
        <w:tc>
          <w:tcPr/>
          <w:p>
            <w:pPr>
              <w:spacing w:after="0"/>
            </w:pPr>
            <w:r>
              <w:rPr>
                <w:color w:val="1F2937"/>
                <w:sz w:val="18"/>
              </w:rPr>
              <w:t>Vær, prisvekst, ekstra sikring, endringer</w:t>
            </w:r>
          </w:p>
        </w:tc>
        <w:tc>
          <w:tcPr/>
          <w:p>
            <w:pPr>
              <w:spacing w:after="0"/>
            </w:pPr>
            <w:r>
              <w:rPr>
                <w:color w:val="1F2937"/>
                <w:sz w:val="18"/>
              </w:rPr>
              <w:t>Bør være eksplisitt styrt</w:t>
            </w:r>
          </w:p>
        </w:tc>
      </w:tr>
    </w:tbl>
    <w:p>
      <w:pPr>
        <w:spacing w:after="120" w:line="276" w:lineRule="auto"/>
      </w:pPr>
      <w:r>
        <w:rPr>
          <w:sz w:val="21"/>
        </w:rPr>
        <w:t/>
      </w:r>
    </w:p>
    <w:p>
      <w:pPr>
        <w:spacing w:before="280" w:after="100"/>
        <w:keepNext/>
      </w:pPr>
      <w:r>
        <w:rPr>
          <w:b/>
          <w:color w:val="12355B"/>
          <w:sz w:val="26"/>
        </w:rPr>
        <w:t>Inntektskategorier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Inntektskilde</w:t>
            </w:r>
          </w:p>
        </w:tc>
        <w:tc>
          <w:tcPr>
            <w:shd w:fill="12355B"/>
          </w:tcPr>
          <w:p>
            <w:pPr>
              <w:spacing w:after="0"/>
            </w:pPr>
            <w:r>
              <w:rPr>
                <w:b/>
                <w:color w:val="FFFFFF"/>
                <w:sz w:val="18"/>
              </w:rPr>
              <w:t>Beskrivelse</w:t>
            </w:r>
          </w:p>
        </w:tc>
        <w:tc>
          <w:tcPr>
            <w:shd w:fill="12355B"/>
          </w:tcPr>
          <w:p>
            <w:pPr>
              <w:spacing w:after="0"/>
            </w:pPr>
            <w:r>
              <w:rPr>
                <w:b/>
                <w:color w:val="FFFFFF"/>
                <w:sz w:val="18"/>
              </w:rPr>
              <w:t>Kritisk forutsetning</w:t>
            </w:r>
          </w:p>
        </w:tc>
      </w:tr>
      <w:tr>
        <w:tc>
          <w:tcPr/>
          <w:p>
            <w:pPr>
              <w:spacing w:after="0"/>
            </w:pPr>
            <w:r>
              <w:rPr>
                <w:color w:val="1F2937"/>
                <w:sz w:val="18"/>
              </w:rPr>
              <w:t>Sponsorinntekter</w:t>
            </w:r>
          </w:p>
        </w:tc>
        <w:tc>
          <w:tcPr/>
          <w:p>
            <w:pPr>
              <w:spacing w:after="0"/>
            </w:pPr>
            <w:r>
              <w:rPr>
                <w:color w:val="1F2937"/>
                <w:sz w:val="18"/>
              </w:rPr>
              <w:t>Hovedsponsor, partnere, lokale sponsorer</w:t>
            </w:r>
          </w:p>
        </w:tc>
        <w:tc>
          <w:tcPr/>
          <w:p>
            <w:pPr>
              <w:spacing w:after="0"/>
            </w:pPr>
            <w:r>
              <w:rPr>
                <w:color w:val="1F2937"/>
                <w:sz w:val="18"/>
              </w:rPr>
              <w:t>Tydelig rettighetspakke</w:t>
            </w:r>
          </w:p>
        </w:tc>
      </w:tr>
      <w:tr>
        <w:tc>
          <w:tcPr/>
          <w:p>
            <w:pPr>
              <w:spacing w:after="0"/>
            </w:pPr>
            <w:r>
              <w:rPr>
                <w:color w:val="1F2937"/>
                <w:sz w:val="18"/>
              </w:rPr>
              <w:t>Billettinntekter</w:t>
            </w:r>
          </w:p>
        </w:tc>
        <w:tc>
          <w:tcPr/>
          <w:p>
            <w:pPr>
              <w:spacing w:after="0"/>
            </w:pPr>
            <w:r>
              <w:rPr>
                <w:color w:val="1F2937"/>
                <w:sz w:val="18"/>
              </w:rPr>
              <w:t>Dagspass, familiepakker, VIP/hospitality</w:t>
            </w:r>
          </w:p>
        </w:tc>
        <w:tc>
          <w:tcPr/>
          <w:p>
            <w:pPr>
              <w:spacing w:after="0"/>
            </w:pPr>
            <w:r>
              <w:rPr>
                <w:color w:val="1F2937"/>
                <w:sz w:val="18"/>
              </w:rPr>
              <w:t>Attraktiv publikumsopplevelse</w:t>
            </w:r>
          </w:p>
        </w:tc>
      </w:tr>
      <w:tr>
        <w:tc>
          <w:tcPr/>
          <w:p>
            <w:pPr>
              <w:spacing w:after="0"/>
            </w:pPr>
            <w:r>
              <w:rPr>
                <w:color w:val="1F2937"/>
                <w:sz w:val="18"/>
              </w:rPr>
              <w:t>Offentlige bidrag</w:t>
            </w:r>
          </w:p>
        </w:tc>
        <w:tc>
          <w:tcPr/>
          <w:p>
            <w:pPr>
              <w:spacing w:after="0"/>
            </w:pPr>
            <w:r>
              <w:rPr>
                <w:color w:val="1F2937"/>
                <w:sz w:val="18"/>
              </w:rPr>
              <w:t>Kommune, fylke, statlige ordninger, idrettsmidler</w:t>
            </w:r>
          </w:p>
        </w:tc>
        <w:tc>
          <w:tcPr/>
          <w:p>
            <w:pPr>
              <w:spacing w:after="0"/>
            </w:pPr>
            <w:r>
              <w:rPr>
                <w:color w:val="1F2937"/>
                <w:sz w:val="18"/>
              </w:rPr>
              <w:t>Dokumentert samfunnsverdi</w:t>
            </w:r>
          </w:p>
        </w:tc>
      </w:tr>
      <w:tr>
        <w:tc>
          <w:tcPr/>
          <w:p>
            <w:pPr>
              <w:spacing w:after="0"/>
            </w:pPr>
            <w:r>
              <w:rPr>
                <w:color w:val="1F2937"/>
                <w:sz w:val="18"/>
              </w:rPr>
              <w:t>Hospitality</w:t>
            </w:r>
          </w:p>
        </w:tc>
        <w:tc>
          <w:tcPr/>
          <w:p>
            <w:pPr>
              <w:spacing w:after="0"/>
            </w:pPr>
            <w:r>
              <w:rPr>
                <w:color w:val="1F2937"/>
                <w:sz w:val="18"/>
              </w:rPr>
              <w:t>Bedriftspakker, servering, VIP-områder</w:t>
            </w:r>
          </w:p>
        </w:tc>
        <w:tc>
          <w:tcPr/>
          <w:p>
            <w:pPr>
              <w:spacing w:after="0"/>
            </w:pPr>
            <w:r>
              <w:rPr>
                <w:color w:val="1F2937"/>
                <w:sz w:val="18"/>
              </w:rPr>
              <w:t>Kapasitet og sponsorinteresse</w:t>
            </w:r>
          </w:p>
        </w:tc>
      </w:tr>
      <w:tr>
        <w:tc>
          <w:tcPr/>
          <w:p>
            <w:pPr>
              <w:spacing w:after="0"/>
            </w:pPr>
            <w:r>
              <w:rPr>
                <w:color w:val="1F2937"/>
                <w:sz w:val="18"/>
              </w:rPr>
              <w:t>Salg på arena</w:t>
            </w:r>
          </w:p>
        </w:tc>
        <w:tc>
          <w:tcPr/>
          <w:p>
            <w:pPr>
              <w:spacing w:after="0"/>
            </w:pPr>
            <w:r>
              <w:rPr>
                <w:color w:val="1F2937"/>
                <w:sz w:val="18"/>
              </w:rPr>
              <w:t>Mat, drikke, merchandise</w:t>
            </w:r>
          </w:p>
        </w:tc>
        <w:tc>
          <w:tcPr/>
          <w:p>
            <w:pPr>
              <w:spacing w:after="0"/>
            </w:pPr>
            <w:r>
              <w:rPr>
                <w:color w:val="1F2937"/>
                <w:sz w:val="18"/>
              </w:rPr>
              <w:t>Publikumstall og logistikk</w:t>
            </w:r>
          </w:p>
        </w:tc>
      </w:tr>
      <w:tr>
        <w:tc>
          <w:tcPr/>
          <w:p>
            <w:pPr>
              <w:spacing w:after="0"/>
            </w:pPr>
            <w:r>
              <w:rPr>
                <w:color w:val="1F2937"/>
                <w:sz w:val="18"/>
              </w:rPr>
              <w:t>Medie-/rettighetsrelatert verdi</w:t>
            </w:r>
          </w:p>
        </w:tc>
        <w:tc>
          <w:tcPr/>
          <w:p>
            <w:pPr>
              <w:spacing w:after="0"/>
            </w:pPr>
            <w:r>
              <w:rPr>
                <w:color w:val="1F2937"/>
                <w:sz w:val="18"/>
              </w:rPr>
              <w:t>Avhenger av avtalestruktur</w:t>
            </w:r>
          </w:p>
        </w:tc>
        <w:tc>
          <w:tcPr/>
          <w:p>
            <w:pPr>
              <w:spacing w:after="0"/>
            </w:pPr>
            <w:r>
              <w:rPr>
                <w:color w:val="1F2937"/>
                <w:sz w:val="18"/>
              </w:rPr>
              <w:t>Må avklares med rettighetshavere</w:t>
            </w:r>
          </w:p>
        </w:tc>
      </w:tr>
    </w:tbl>
    <w:p>
      <w:pPr>
        <w:spacing w:after="120" w:line="276" w:lineRule="auto"/>
      </w:pPr>
      <w:r>
        <w:rPr>
          <w:sz w:val="21"/>
        </w:rPr>
        <w:t/>
      </w:r>
    </w:p>
    <w:p>
      <w:pPr>
        <w:spacing w:before="280" w:after="100"/>
        <w:keepNext/>
      </w:pPr>
      <w:r>
        <w:rPr>
          <w:b/>
          <w:color w:val="12355B"/>
          <w:sz w:val="26"/>
        </w:rPr>
        <w:t>Økonomisk vurdering</w:t>
      </w:r>
    </w:p>
    <w:p>
      <w:pPr>
        <w:spacing w:after="120" w:line="276" w:lineRule="auto"/>
      </w:pPr>
      <w:r>
        <w:rPr>
          <w:sz w:val="21"/>
        </w:rPr>
        <w:t>Foreløpig økonomisk mål bør være at arrangementet enten går i balanse eller leverer et avtalt overskudd/reserve etter risikoavsetning.</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tblGrid>
      <w:tr>
        <w:tc>
          <w:tcPr>
            <w:shd w:fill="12355B"/>
          </w:tcPr>
          <w:p>
            <w:pPr>
              <w:spacing w:after="0"/>
            </w:pPr>
            <w:r>
              <w:rPr>
                <w:b/>
                <w:color w:val="FFFFFF"/>
                <w:sz w:val="18"/>
              </w:rPr>
              <w:t>Økonomisk styringspunkt</w:t>
            </w:r>
          </w:p>
        </w:tc>
        <w:tc>
          <w:tcPr>
            <w:shd w:fill="12355B"/>
          </w:tcPr>
          <w:p>
            <w:pPr>
              <w:spacing w:after="0"/>
            </w:pPr>
            <w:r>
              <w:rPr>
                <w:b/>
                <w:color w:val="FFFFFF"/>
                <w:sz w:val="18"/>
              </w:rPr>
              <w:t>Foreslått krav</w:t>
            </w:r>
          </w:p>
        </w:tc>
      </w:tr>
      <w:tr>
        <w:tc>
          <w:tcPr/>
          <w:p>
            <w:pPr>
              <w:spacing w:after="0"/>
            </w:pPr>
            <w:r>
              <w:rPr>
                <w:color w:val="1F2937"/>
                <w:sz w:val="18"/>
              </w:rPr>
              <w:t>Minimum finansieringsgrad før full gjennomføring</w:t>
            </w:r>
          </w:p>
        </w:tc>
        <w:tc>
          <w:tcPr/>
          <w:p>
            <w:pPr>
              <w:spacing w:after="0"/>
            </w:pPr>
            <w:r>
              <w:rPr>
                <w:color w:val="1F2937"/>
                <w:sz w:val="18"/>
              </w:rPr>
              <w:t>80-85 % av inntektsbudsjett sikret innen T-6 mnd</w:t>
            </w:r>
          </w:p>
        </w:tc>
      </w:tr>
      <w:tr>
        <w:tc>
          <w:tcPr/>
          <w:p>
            <w:pPr>
              <w:spacing w:after="0"/>
            </w:pPr>
            <w:r>
              <w:rPr>
                <w:color w:val="1F2937"/>
                <w:sz w:val="18"/>
              </w:rPr>
              <w:t>Kostnadstoleranse</w:t>
            </w:r>
          </w:p>
        </w:tc>
        <w:tc>
          <w:tcPr/>
          <w:p>
            <w:pPr>
              <w:spacing w:after="0"/>
            </w:pPr>
            <w:r>
              <w:rPr>
                <w:color w:val="1F2937"/>
                <w:sz w:val="18"/>
              </w:rPr>
              <w:t>Eskalering ved prognose &gt;5-10 % over budsjett</w:t>
            </w:r>
          </w:p>
        </w:tc>
      </w:tr>
      <w:tr>
        <w:tc>
          <w:tcPr/>
          <w:p>
            <w:pPr>
              <w:spacing w:after="0"/>
            </w:pPr>
            <w:r>
              <w:rPr>
                <w:color w:val="1F2937"/>
                <w:sz w:val="18"/>
              </w:rPr>
              <w:t>Sponsor-toleranse</w:t>
            </w:r>
          </w:p>
        </w:tc>
        <w:tc>
          <w:tcPr/>
          <w:p>
            <w:pPr>
              <w:spacing w:after="0"/>
            </w:pPr>
            <w:r>
              <w:rPr>
                <w:color w:val="1F2937"/>
                <w:sz w:val="18"/>
              </w:rPr>
              <w:t>Tiltaksplan hvis &lt;85 % sponsorbudsjett er signert innen T-6 mnd</w:t>
            </w:r>
          </w:p>
        </w:tc>
      </w:tr>
      <w:tr>
        <w:tc>
          <w:tcPr/>
          <w:p>
            <w:pPr>
              <w:spacing w:after="0"/>
            </w:pPr>
            <w:r>
              <w:rPr>
                <w:color w:val="1F2937"/>
                <w:sz w:val="18"/>
              </w:rPr>
              <w:t>Reserve</w:t>
            </w:r>
          </w:p>
        </w:tc>
        <w:tc>
          <w:tcPr/>
          <w:p>
            <w:pPr>
              <w:spacing w:after="0"/>
            </w:pPr>
            <w:r>
              <w:rPr>
                <w:color w:val="1F2937"/>
                <w:sz w:val="18"/>
              </w:rPr>
              <w:t>Egen usikkerhetsreserve for vær, rigg og sikkerhet</w:t>
            </w:r>
          </w:p>
        </w:tc>
      </w:tr>
      <w:tr>
        <w:tc>
          <w:tcPr/>
          <w:p>
            <w:pPr>
              <w:spacing w:after="0"/>
            </w:pPr>
            <w:r>
              <w:rPr>
                <w:color w:val="1F2937"/>
                <w:sz w:val="18"/>
              </w:rPr>
              <w:t>Go/no-go</w:t>
            </w:r>
          </w:p>
        </w:tc>
        <w:tc>
          <w:tcPr/>
          <w:p>
            <w:pPr>
              <w:spacing w:after="0"/>
            </w:pPr>
            <w:r>
              <w:rPr>
                <w:color w:val="1F2937"/>
                <w:sz w:val="18"/>
              </w:rPr>
              <w:t>Project Board beslutter basert på finansiering, arena, risiko og FIS-krav</w:t>
            </w:r>
          </w:p>
        </w:tc>
      </w:tr>
    </w:tbl>
    <w:p>
      <w:pPr>
        <w:spacing w:after="120" w:line="276" w:lineRule="auto"/>
      </w:pPr>
      <w:r>
        <w:rPr>
          <w:sz w:val="21"/>
        </w:rPr>
        <w:t/>
      </w:r>
    </w:p>
    <w:p>
      <w:pPr>
        <w:spacing w:before="280" w:after="100"/>
        <w:keepNext/>
      </w:pPr>
      <w:r>
        <w:rPr>
          <w:b/>
          <w:color w:val="12355B"/>
          <w:sz w:val="26"/>
        </w:rPr>
        <w:t>Hovedrisikoer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gridCol w:w="2200"/>
        <w:gridCol w:w="2200"/>
      </w:tblGrid>
      <w:tr>
        <w:tc>
          <w:tcPr>
            <w:shd w:fill="12355B"/>
          </w:tcPr>
          <w:p>
            <w:pPr>
              <w:spacing w:after="0"/>
            </w:pPr>
            <w:r>
              <w:rPr>
                <w:b/>
                <w:color w:val="FFFFFF"/>
                <w:sz w:val="18"/>
              </w:rPr>
              <w:t>Risiko</w:t>
            </w:r>
          </w:p>
        </w:tc>
        <w:tc>
          <w:tcPr>
            <w:shd w:fill="12355B"/>
          </w:tcPr>
          <w:p>
            <w:pPr>
              <w:spacing w:after="0"/>
            </w:pPr>
            <w:r>
              <w:rPr>
                <w:b/>
                <w:color w:val="FFFFFF"/>
                <w:sz w:val="18"/>
              </w:rPr>
              <w:t>Konsekvens</w:t>
            </w:r>
          </w:p>
        </w:tc>
        <w:tc>
          <w:tcPr>
            <w:shd w:fill="12355B"/>
          </w:tcPr>
          <w:p>
            <w:pPr>
              <w:spacing w:after="0"/>
            </w:pPr>
            <w:r>
              <w:rPr>
                <w:b/>
                <w:color w:val="FFFFFF"/>
                <w:sz w:val="18"/>
              </w:rPr>
              <w:t>Sannsynlighet</w:t>
            </w:r>
          </w:p>
        </w:tc>
        <w:tc>
          <w:tcPr>
            <w:shd w:fill="12355B"/>
          </w:tcPr>
          <w:p>
            <w:pPr>
              <w:spacing w:after="0"/>
            </w:pPr>
            <w:r>
              <w:rPr>
                <w:b/>
                <w:color w:val="FFFFFF"/>
                <w:sz w:val="18"/>
              </w:rPr>
              <w:t>Tiltak</w:t>
            </w:r>
          </w:p>
        </w:tc>
        <w:tc>
          <w:tcPr>
            <w:shd w:fill="12355B"/>
          </w:tcPr>
          <w:p>
            <w:pPr>
              <w:spacing w:after="0"/>
            </w:pPr>
            <w:r>
              <w:rPr>
                <w:b/>
                <w:color w:val="FFFFFF"/>
                <w:sz w:val="18"/>
              </w:rPr>
              <w:t>Eier</w:t>
            </w:r>
          </w:p>
        </w:tc>
      </w:tr>
      <w:tr>
        <w:tc>
          <w:tcPr/>
          <w:p>
            <w:pPr>
              <w:spacing w:after="0"/>
            </w:pPr>
            <w:r>
              <w:rPr>
                <w:color w:val="1F2937"/>
                <w:sz w:val="18"/>
              </w:rPr>
              <w:t>Manglende FIS-/kalendergodkjenning</w:t>
            </w:r>
          </w:p>
        </w:tc>
        <w:tc>
          <w:tcPr/>
          <w:p>
            <w:pPr>
              <w:spacing w:after="0"/>
            </w:pPr>
            <w:r>
              <w:rPr>
                <w:color w:val="1F2937"/>
                <w:sz w:val="18"/>
              </w:rPr>
              <w:t>Arrangementet kan ikke gjennomføres som planlagt</w:t>
            </w:r>
          </w:p>
        </w:tc>
        <w:tc>
          <w:tcPr/>
          <w:p>
            <w:pPr>
              <w:spacing w:after="0"/>
            </w:pPr>
            <w:r>
              <w:rPr>
                <w:color w:val="1F2937"/>
                <w:sz w:val="18"/>
              </w:rPr>
              <w:t>Middels</w:t>
            </w:r>
          </w:p>
        </w:tc>
        <w:tc>
          <w:tcPr/>
          <w:p>
            <w:pPr>
              <w:spacing w:after="0"/>
            </w:pPr>
            <w:r>
              <w:rPr>
                <w:color w:val="1F2937"/>
                <w:sz w:val="18"/>
              </w:rPr>
              <w:t>Tidlig dialog med FIS og NSF</w:t>
            </w:r>
          </w:p>
        </w:tc>
        <w:tc>
          <w:tcPr/>
          <w:p>
            <w:pPr>
              <w:spacing w:after="0"/>
            </w:pPr>
            <w:r>
              <w:rPr>
                <w:color w:val="1F2937"/>
                <w:sz w:val="18"/>
              </w:rPr>
              <w:t>Sport</w:t>
            </w:r>
          </w:p>
        </w:tc>
      </w:tr>
      <w:tr>
        <w:tc>
          <w:tcPr/>
          <w:p>
            <w:pPr>
              <w:spacing w:after="0"/>
            </w:pPr>
            <w:r>
              <w:rPr>
                <w:color w:val="1F2937"/>
                <w:sz w:val="18"/>
              </w:rPr>
              <w:t>Utilstrekkelige snø-/værforhold</w:t>
            </w:r>
          </w:p>
        </w:tc>
        <w:tc>
          <w:tcPr/>
          <w:p>
            <w:pPr>
              <w:spacing w:after="0"/>
            </w:pPr>
            <w:r>
              <w:rPr>
                <w:color w:val="1F2937"/>
                <w:sz w:val="18"/>
              </w:rPr>
              <w:t>Avlysning, utsettelse eller økte kostnader</w:t>
            </w:r>
          </w:p>
        </w:tc>
        <w:tc>
          <w:tcPr/>
          <w:p>
            <w:pPr>
              <w:spacing w:after="0"/>
            </w:pPr>
            <w:r>
              <w:rPr>
                <w:color w:val="1F2937"/>
                <w:sz w:val="18"/>
              </w:rPr>
              <w:t>Middels/høy</w:t>
            </w:r>
          </w:p>
        </w:tc>
        <w:tc>
          <w:tcPr/>
          <w:p>
            <w:pPr>
              <w:spacing w:after="0"/>
            </w:pPr>
            <w:r>
              <w:rPr>
                <w:color w:val="1F2937"/>
                <w:sz w:val="18"/>
              </w:rPr>
              <w:t>Snøplan, reserveplan, værberedskap</w:t>
            </w:r>
          </w:p>
        </w:tc>
        <w:tc>
          <w:tcPr/>
          <w:p>
            <w:pPr>
              <w:spacing w:after="0"/>
            </w:pPr>
            <w:r>
              <w:rPr>
                <w:color w:val="1F2937"/>
                <w:sz w:val="18"/>
              </w:rPr>
              <w:t>Arena / sport</w:t>
            </w:r>
          </w:p>
        </w:tc>
      </w:tr>
      <w:tr>
        <w:tc>
          <w:tcPr/>
          <w:p>
            <w:pPr>
              <w:spacing w:after="0"/>
            </w:pPr>
            <w:r>
              <w:rPr>
                <w:color w:val="1F2937"/>
                <w:sz w:val="18"/>
              </w:rPr>
              <w:t>Sponsorinntekter lavere enn planlagt</w:t>
            </w:r>
          </w:p>
        </w:tc>
        <w:tc>
          <w:tcPr/>
          <w:p>
            <w:pPr>
              <w:spacing w:after="0"/>
            </w:pPr>
            <w:r>
              <w:rPr>
                <w:color w:val="1F2937"/>
                <w:sz w:val="18"/>
              </w:rPr>
              <w:t>Svekket business case</w:t>
            </w:r>
          </w:p>
        </w:tc>
        <w:tc>
          <w:tcPr/>
          <w:p>
            <w:pPr>
              <w:spacing w:after="0"/>
            </w:pPr>
            <w:r>
              <w:rPr>
                <w:color w:val="1F2937"/>
                <w:sz w:val="18"/>
              </w:rPr>
              <w:t>Middels</w:t>
            </w:r>
          </w:p>
        </w:tc>
        <w:tc>
          <w:tcPr/>
          <w:p>
            <w:pPr>
              <w:spacing w:after="0"/>
            </w:pPr>
            <w:r>
              <w:rPr>
                <w:color w:val="1F2937"/>
                <w:sz w:val="18"/>
              </w:rPr>
              <w:t>Tidlig kommersiell plan, trinnvis go/no-go</w:t>
            </w:r>
          </w:p>
        </w:tc>
        <w:tc>
          <w:tcPr/>
          <w:p>
            <w:pPr>
              <w:spacing w:after="0"/>
            </w:pPr>
            <w:r>
              <w:rPr>
                <w:color w:val="1F2937"/>
                <w:sz w:val="18"/>
              </w:rPr>
              <w:t>Kommersiell leder</w:t>
            </w:r>
          </w:p>
        </w:tc>
      </w:tr>
      <w:tr>
        <w:tc>
          <w:tcPr/>
          <w:p>
            <w:pPr>
              <w:spacing w:after="0"/>
            </w:pPr>
            <w:r>
              <w:rPr>
                <w:color w:val="1F2937"/>
                <w:sz w:val="18"/>
              </w:rPr>
              <w:t>Kostnadsøkning i rigg og sikkerhet</w:t>
            </w:r>
          </w:p>
        </w:tc>
        <w:tc>
          <w:tcPr/>
          <w:p>
            <w:pPr>
              <w:spacing w:after="0"/>
            </w:pPr>
            <w:r>
              <w:rPr>
                <w:color w:val="1F2937"/>
                <w:sz w:val="18"/>
              </w:rPr>
              <w:t>Budsjettoverskridelse</w:t>
            </w:r>
          </w:p>
        </w:tc>
        <w:tc>
          <w:tcPr/>
          <w:p>
            <w:pPr>
              <w:spacing w:after="0"/>
            </w:pPr>
            <w:r>
              <w:rPr>
                <w:color w:val="1F2937"/>
                <w:sz w:val="18"/>
              </w:rPr>
              <w:t>Middels</w:t>
            </w:r>
          </w:p>
        </w:tc>
        <w:tc>
          <w:tcPr/>
          <w:p>
            <w:pPr>
              <w:spacing w:after="0"/>
            </w:pPr>
            <w:r>
              <w:rPr>
                <w:color w:val="1F2937"/>
                <w:sz w:val="18"/>
              </w:rPr>
              <w:t>Konkurranseutsetting, reserve, tett prognose</w:t>
            </w:r>
          </w:p>
        </w:tc>
        <w:tc>
          <w:tcPr/>
          <w:p>
            <w:pPr>
              <w:spacing w:after="0"/>
            </w:pPr>
            <w:r>
              <w:rPr>
                <w:color w:val="1F2937"/>
                <w:sz w:val="18"/>
              </w:rPr>
              <w:t>Prosjektleder / økonomi</w:t>
            </w:r>
          </w:p>
        </w:tc>
      </w:tr>
      <w:tr>
        <w:tc>
          <w:tcPr/>
          <w:p>
            <w:pPr>
              <w:spacing w:after="0"/>
            </w:pPr>
            <w:r>
              <w:rPr>
                <w:color w:val="1F2937"/>
                <w:sz w:val="18"/>
              </w:rPr>
              <w:t>Svak publikumsoppslutning</w:t>
            </w:r>
          </w:p>
        </w:tc>
        <w:tc>
          <w:tcPr/>
          <w:p>
            <w:pPr>
              <w:spacing w:after="0"/>
            </w:pPr>
            <w:r>
              <w:rPr>
                <w:color w:val="1F2937"/>
                <w:sz w:val="18"/>
              </w:rPr>
              <w:t>Lavere inntekt og svakere effekt</w:t>
            </w:r>
          </w:p>
        </w:tc>
        <w:tc>
          <w:tcPr/>
          <w:p>
            <w:pPr>
              <w:spacing w:after="0"/>
            </w:pPr>
            <w:r>
              <w:rPr>
                <w:color w:val="1F2937"/>
                <w:sz w:val="18"/>
              </w:rPr>
              <w:t>Middels</w:t>
            </w:r>
          </w:p>
        </w:tc>
        <w:tc>
          <w:tcPr/>
          <w:p>
            <w:pPr>
              <w:spacing w:after="0"/>
            </w:pPr>
            <w:r>
              <w:rPr>
                <w:color w:val="1F2937"/>
                <w:sz w:val="18"/>
              </w:rPr>
              <w:t>Tidlig billettstrategi og kommunikasjon</w:t>
            </w:r>
          </w:p>
        </w:tc>
        <w:tc>
          <w:tcPr/>
          <w:p>
            <w:pPr>
              <w:spacing w:after="0"/>
            </w:pPr>
            <w:r>
              <w:rPr>
                <w:color w:val="1F2937"/>
                <w:sz w:val="18"/>
              </w:rPr>
              <w:t>Marked</w:t>
            </w:r>
          </w:p>
        </w:tc>
      </w:tr>
      <w:tr>
        <w:tc>
          <w:tcPr/>
          <w:p>
            <w:pPr>
              <w:spacing w:after="0"/>
            </w:pPr>
            <w:r>
              <w:rPr>
                <w:color w:val="1F2937"/>
                <w:sz w:val="18"/>
              </w:rPr>
              <w:t>HMS-hendelse</w:t>
            </w:r>
          </w:p>
        </w:tc>
        <w:tc>
          <w:tcPr/>
          <w:p>
            <w:pPr>
              <w:spacing w:after="0"/>
            </w:pPr>
            <w:r>
              <w:rPr>
                <w:color w:val="1F2937"/>
                <w:sz w:val="18"/>
              </w:rPr>
              <w:t>Personskade og omdømmetap</w:t>
            </w:r>
          </w:p>
        </w:tc>
        <w:tc>
          <w:tcPr/>
          <w:p>
            <w:pPr>
              <w:spacing w:after="0"/>
            </w:pPr>
            <w:r>
              <w:rPr>
                <w:color w:val="1F2937"/>
                <w:sz w:val="18"/>
              </w:rPr>
              <w:t>Lav/middels</w:t>
            </w:r>
          </w:p>
        </w:tc>
        <w:tc>
          <w:tcPr/>
          <w:p>
            <w:pPr>
              <w:spacing w:after="0"/>
            </w:pPr>
            <w:r>
              <w:rPr>
                <w:color w:val="1F2937"/>
                <w:sz w:val="18"/>
              </w:rPr>
              <w:t>Beredskapsplan, øvelser, klare stoppkriterier</w:t>
            </w:r>
          </w:p>
        </w:tc>
        <w:tc>
          <w:tcPr/>
          <w:p>
            <w:pPr>
              <w:spacing w:after="0"/>
            </w:pPr>
            <w:r>
              <w:rPr>
                <w:color w:val="1F2937"/>
                <w:sz w:val="18"/>
              </w:rPr>
              <w:t>HMS</w:t>
            </w:r>
          </w:p>
        </w:tc>
      </w:tr>
      <w:tr>
        <w:tc>
          <w:tcPr/>
          <w:p>
            <w:pPr>
              <w:spacing w:after="0"/>
            </w:pPr>
            <w:r>
              <w:rPr>
                <w:color w:val="1F2937"/>
                <w:sz w:val="18"/>
              </w:rPr>
              <w:t>Transportkaos</w:t>
            </w:r>
          </w:p>
        </w:tc>
        <w:tc>
          <w:tcPr/>
          <w:p>
            <w:pPr>
              <w:spacing w:after="0"/>
            </w:pPr>
            <w:r>
              <w:rPr>
                <w:color w:val="1F2937"/>
                <w:sz w:val="18"/>
              </w:rPr>
              <w:t>Dårlig publikumsopplevelse</w:t>
            </w:r>
          </w:p>
        </w:tc>
        <w:tc>
          <w:tcPr/>
          <w:p>
            <w:pPr>
              <w:spacing w:after="0"/>
            </w:pPr>
            <w:r>
              <w:rPr>
                <w:color w:val="1F2937"/>
                <w:sz w:val="18"/>
              </w:rPr>
              <w:t>Middels</w:t>
            </w:r>
          </w:p>
        </w:tc>
        <w:tc>
          <w:tcPr/>
          <w:p>
            <w:pPr>
              <w:spacing w:after="0"/>
            </w:pPr>
            <w:r>
              <w:rPr>
                <w:color w:val="1F2937"/>
                <w:sz w:val="18"/>
              </w:rPr>
              <w:t>Kollektiv-/shuttleplan, trafikkstyring</w:t>
            </w:r>
          </w:p>
        </w:tc>
        <w:tc>
          <w:tcPr/>
          <w:p>
            <w:pPr>
              <w:spacing w:after="0"/>
            </w:pPr>
            <w:r>
              <w:rPr>
                <w:color w:val="1F2937"/>
                <w:sz w:val="18"/>
              </w:rPr>
              <w:t>Drift</w:t>
            </w:r>
          </w:p>
        </w:tc>
      </w:tr>
      <w:tr>
        <w:tc>
          <w:tcPr/>
          <w:p>
            <w:pPr>
              <w:spacing w:after="0"/>
            </w:pPr>
            <w:r>
              <w:rPr>
                <w:color w:val="1F2937"/>
                <w:sz w:val="18"/>
              </w:rPr>
              <w:t>Frivilligmangel</w:t>
            </w:r>
          </w:p>
        </w:tc>
        <w:tc>
          <w:tcPr/>
          <w:p>
            <w:pPr>
              <w:spacing w:after="0"/>
            </w:pPr>
            <w:r>
              <w:rPr>
                <w:color w:val="1F2937"/>
                <w:sz w:val="18"/>
              </w:rPr>
              <w:t>Operativ svikt</w:t>
            </w:r>
          </w:p>
        </w:tc>
        <w:tc>
          <w:tcPr/>
          <w:p>
            <w:pPr>
              <w:spacing w:after="0"/>
            </w:pPr>
            <w:r>
              <w:rPr>
                <w:color w:val="1F2937"/>
                <w:sz w:val="18"/>
              </w:rPr>
              <w:t>Middels</w:t>
            </w:r>
          </w:p>
        </w:tc>
        <w:tc>
          <w:tcPr/>
          <w:p>
            <w:pPr>
              <w:spacing w:after="0"/>
            </w:pPr>
            <w:r>
              <w:rPr>
                <w:color w:val="1F2937"/>
                <w:sz w:val="18"/>
              </w:rPr>
              <w:t>Tidlig rekruttering og klubbforankring</w:t>
            </w:r>
          </w:p>
        </w:tc>
        <w:tc>
          <w:tcPr/>
          <w:p>
            <w:pPr>
              <w:spacing w:after="0"/>
            </w:pPr>
            <w:r>
              <w:rPr>
                <w:color w:val="1F2937"/>
                <w:sz w:val="18"/>
              </w:rPr>
              <w:t>Frivilligleder</w:t>
            </w:r>
          </w:p>
        </w:tc>
      </w:tr>
      <w:tr>
        <w:tc>
          <w:tcPr/>
          <w:p>
            <w:pPr>
              <w:spacing w:after="0"/>
            </w:pPr>
            <w:r>
              <w:rPr>
                <w:color w:val="1F2937"/>
                <w:sz w:val="18"/>
              </w:rPr>
              <w:t>Bærekraftsavvik</w:t>
            </w:r>
          </w:p>
        </w:tc>
        <w:tc>
          <w:tcPr/>
          <w:p>
            <w:pPr>
              <w:spacing w:after="0"/>
            </w:pPr>
            <w:r>
              <w:rPr>
                <w:color w:val="1F2937"/>
                <w:sz w:val="18"/>
              </w:rPr>
              <w:t>Omdømmerisiko</w:t>
            </w:r>
          </w:p>
        </w:tc>
        <w:tc>
          <w:tcPr/>
          <w:p>
            <w:pPr>
              <w:spacing w:after="0"/>
            </w:pPr>
            <w:r>
              <w:rPr>
                <w:color w:val="1F2937"/>
                <w:sz w:val="18"/>
              </w:rPr>
              <w:t>Middels</w:t>
            </w:r>
          </w:p>
        </w:tc>
        <w:tc>
          <w:tcPr/>
          <w:p>
            <w:pPr>
              <w:spacing w:after="0"/>
            </w:pPr>
            <w:r>
              <w:rPr>
                <w:color w:val="1F2937"/>
                <w:sz w:val="18"/>
              </w:rPr>
              <w:t>Miljøkrav i innkjøp og måling</w:t>
            </w:r>
          </w:p>
        </w:tc>
        <w:tc>
          <w:tcPr/>
          <w:p>
            <w:pPr>
              <w:spacing w:after="0"/>
            </w:pPr>
            <w:r>
              <w:rPr>
                <w:color w:val="1F2937"/>
                <w:sz w:val="18"/>
              </w:rPr>
              <w:t>Bærekraft</w:t>
            </w:r>
          </w:p>
        </w:tc>
      </w:tr>
    </w:tbl>
    <w:p>
      <w:pPr>
        <w:spacing w:after="120" w:line="276" w:lineRule="auto"/>
      </w:pPr>
      <w:r>
        <w:rPr>
          <w:sz w:val="21"/>
        </w:rPr>
        <w:t/>
      </w:r>
    </w:p>
    <w:p>
      <w:pPr>
        <w:spacing w:before="280" w:after="100"/>
        <w:keepNext/>
      </w:pPr>
      <w:r>
        <w:rPr>
          <w:b/>
          <w:color w:val="12355B"/>
          <w:sz w:val="26"/>
        </w:rPr>
        <w:t>Bærekraftsvurdering</w:t>
      </w:r>
    </w:p>
    <w:p>
      <w:pPr>
        <w:spacing w:after="120" w:line="276" w:lineRule="auto"/>
      </w:pPr>
      <w:r>
        <w:rPr>
          <w:sz w:val="21"/>
        </w:rPr>
        <w:t>PRINCE2 7 har bærekraft som et eksplisitt ytelsesområde. For Wyller bør bærekraft inn i business case-et, ikke bare som kommunikasjonsprofil.</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Område</w:t>
            </w:r>
          </w:p>
        </w:tc>
        <w:tc>
          <w:tcPr>
            <w:shd w:fill="12355B"/>
          </w:tcPr>
          <w:p>
            <w:pPr>
              <w:spacing w:after="0"/>
            </w:pPr>
            <w:r>
              <w:rPr>
                <w:b/>
                <w:color w:val="FFFFFF"/>
                <w:sz w:val="18"/>
              </w:rPr>
              <w:t>Tiltak</w:t>
            </w:r>
          </w:p>
        </w:tc>
        <w:tc>
          <w:tcPr>
            <w:shd w:fill="12355B"/>
          </w:tcPr>
          <w:p>
            <w:pPr>
              <w:spacing w:after="0"/>
            </w:pPr>
            <w:r>
              <w:rPr>
                <w:b/>
                <w:color w:val="FFFFFF"/>
                <w:sz w:val="18"/>
              </w:rPr>
              <w:t>KPI</w:t>
            </w:r>
          </w:p>
        </w:tc>
      </w:tr>
      <w:tr>
        <w:tc>
          <w:tcPr/>
          <w:p>
            <w:pPr>
              <w:spacing w:after="0"/>
            </w:pPr>
            <w:r>
              <w:rPr>
                <w:color w:val="1F2937"/>
                <w:sz w:val="18"/>
              </w:rPr>
              <w:t>Transport</w:t>
            </w:r>
          </w:p>
        </w:tc>
        <w:tc>
          <w:tcPr/>
          <w:p>
            <w:pPr>
              <w:spacing w:after="0"/>
            </w:pPr>
            <w:r>
              <w:rPr>
                <w:color w:val="1F2937"/>
                <w:sz w:val="18"/>
              </w:rPr>
              <w:t>Kollektiv, shuttle, begrenset privatbil, publikumsinformasjon</w:t>
            </w:r>
          </w:p>
        </w:tc>
        <w:tc>
          <w:tcPr/>
          <w:p>
            <w:pPr>
              <w:spacing w:after="0"/>
            </w:pPr>
            <w:r>
              <w:rPr>
                <w:color w:val="1F2937"/>
                <w:sz w:val="18"/>
              </w:rPr>
              <w:t>&gt;60 % kollektiv/shuttle</w:t>
            </w:r>
          </w:p>
        </w:tc>
      </w:tr>
      <w:tr>
        <w:tc>
          <w:tcPr/>
          <w:p>
            <w:pPr>
              <w:spacing w:after="0"/>
            </w:pPr>
            <w:r>
              <w:rPr>
                <w:color w:val="1F2937"/>
                <w:sz w:val="18"/>
              </w:rPr>
              <w:t>Avfall</w:t>
            </w:r>
          </w:p>
        </w:tc>
        <w:tc>
          <w:tcPr/>
          <w:p>
            <w:pPr>
              <w:spacing w:after="0"/>
            </w:pPr>
            <w:r>
              <w:rPr>
                <w:color w:val="1F2937"/>
                <w:sz w:val="18"/>
              </w:rPr>
              <w:t>Kildesortering, leverandørkrav, publikumsstasjoner</w:t>
            </w:r>
          </w:p>
        </w:tc>
        <w:tc>
          <w:tcPr/>
          <w:p>
            <w:pPr>
              <w:spacing w:after="0"/>
            </w:pPr>
            <w:r>
              <w:rPr>
                <w:color w:val="1F2937"/>
                <w:sz w:val="18"/>
              </w:rPr>
              <w:t>&gt;70 % sorteringsgrad</w:t>
            </w:r>
          </w:p>
        </w:tc>
      </w:tr>
      <w:tr>
        <w:tc>
          <w:tcPr/>
          <w:p>
            <w:pPr>
              <w:spacing w:after="0"/>
            </w:pPr>
            <w:r>
              <w:rPr>
                <w:color w:val="1F2937"/>
                <w:sz w:val="18"/>
              </w:rPr>
              <w:t>Energi</w:t>
            </w:r>
          </w:p>
        </w:tc>
        <w:tc>
          <w:tcPr/>
          <w:p>
            <w:pPr>
              <w:spacing w:after="0"/>
            </w:pPr>
            <w:r>
              <w:rPr>
                <w:color w:val="1F2937"/>
                <w:sz w:val="18"/>
              </w:rPr>
              <w:t>Effektiv rigg, måling av forbruk, fossilfrie løsninger der mulig</w:t>
            </w:r>
          </w:p>
        </w:tc>
        <w:tc>
          <w:tcPr/>
          <w:p>
            <w:pPr>
              <w:spacing w:after="0"/>
            </w:pPr>
            <w:r>
              <w:rPr>
                <w:color w:val="1F2937"/>
                <w:sz w:val="18"/>
              </w:rPr>
              <w:t>Energiforbruk målt og rapportert</w:t>
            </w:r>
          </w:p>
        </w:tc>
      </w:tr>
      <w:tr>
        <w:tc>
          <w:tcPr/>
          <w:p>
            <w:pPr>
              <w:spacing w:after="0"/>
            </w:pPr>
            <w:r>
              <w:rPr>
                <w:color w:val="1F2937"/>
                <w:sz w:val="18"/>
              </w:rPr>
              <w:t>Innkjøp</w:t>
            </w:r>
          </w:p>
        </w:tc>
        <w:tc>
          <w:tcPr/>
          <w:p>
            <w:pPr>
              <w:spacing w:after="0"/>
            </w:pPr>
            <w:r>
              <w:rPr>
                <w:color w:val="1F2937"/>
                <w:sz w:val="18"/>
              </w:rPr>
              <w:t>Lokale og sertifiserte leverandører der mulig</w:t>
            </w:r>
          </w:p>
        </w:tc>
        <w:tc>
          <w:tcPr/>
          <w:p>
            <w:pPr>
              <w:spacing w:after="0"/>
            </w:pPr>
            <w:r>
              <w:rPr>
                <w:color w:val="1F2937"/>
                <w:sz w:val="18"/>
              </w:rPr>
              <w:t>Andel lokale/sertifiserte leverandører</w:t>
            </w:r>
          </w:p>
        </w:tc>
      </w:tr>
      <w:tr>
        <w:tc>
          <w:tcPr/>
          <w:p>
            <w:pPr>
              <w:spacing w:after="0"/>
            </w:pPr>
            <w:r>
              <w:rPr>
                <w:color w:val="1F2937"/>
                <w:sz w:val="18"/>
              </w:rPr>
              <w:t>Sosial bærekraft</w:t>
            </w:r>
          </w:p>
        </w:tc>
        <w:tc>
          <w:tcPr/>
          <w:p>
            <w:pPr>
              <w:spacing w:after="0"/>
            </w:pPr>
            <w:r>
              <w:rPr>
                <w:color w:val="1F2937"/>
                <w:sz w:val="18"/>
              </w:rPr>
              <w:t>Tilgjengelighet, frivilligpleie, lokalt idrettssamarbeid</w:t>
            </w:r>
          </w:p>
        </w:tc>
        <w:tc>
          <w:tcPr/>
          <w:p>
            <w:pPr>
              <w:spacing w:after="0"/>
            </w:pPr>
            <w:r>
              <w:rPr>
                <w:color w:val="1F2937"/>
                <w:sz w:val="18"/>
              </w:rPr>
              <w:t>Tilfredshet og deltakelse</w:t>
            </w:r>
          </w:p>
        </w:tc>
      </w:tr>
      <w:tr>
        <w:tc>
          <w:tcPr/>
          <w:p>
            <w:pPr>
              <w:spacing w:after="0"/>
            </w:pPr>
            <w:r>
              <w:rPr>
                <w:color w:val="1F2937"/>
                <w:sz w:val="18"/>
              </w:rPr>
              <w:t>Etterbruk</w:t>
            </w:r>
          </w:p>
        </w:tc>
        <w:tc>
          <w:tcPr/>
          <w:p>
            <w:pPr>
              <w:spacing w:after="0"/>
            </w:pPr>
            <w:r>
              <w:rPr>
                <w:color w:val="1F2937"/>
                <w:sz w:val="18"/>
              </w:rPr>
              <w:t>Kompetanse, arrangementsmanual, læringsrapport</w:t>
            </w:r>
          </w:p>
        </w:tc>
        <w:tc>
          <w:tcPr/>
          <w:p>
            <w:pPr>
              <w:spacing w:after="0"/>
            </w:pPr>
            <w:r>
              <w:rPr>
                <w:color w:val="1F2937"/>
                <w:sz w:val="18"/>
              </w:rPr>
              <w:t>Lessons report og gevinstmåling</w:t>
            </w:r>
          </w:p>
        </w:tc>
      </w:tr>
    </w:tbl>
    <w:p>
      <w:pPr>
        <w:spacing w:after="120" w:line="276" w:lineRule="auto"/>
      </w:pPr>
      <w:r>
        <w:rPr>
          <w:sz w:val="21"/>
        </w:rPr>
        <w:t/>
      </w:r>
    </w:p>
    <w:p>
      <w:pPr>
        <w:spacing w:before="280" w:after="100"/>
        <w:keepNext/>
      </w:pPr>
      <w:r>
        <w:rPr>
          <w:b/>
          <w:color w:val="12355B"/>
          <w:sz w:val="26"/>
        </w:rPr>
        <w:t>Toleranser</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PRINCE2-toleranse</w:t>
            </w:r>
          </w:p>
        </w:tc>
        <w:tc>
          <w:tcPr>
            <w:shd w:fill="12355B"/>
          </w:tcPr>
          <w:p>
            <w:pPr>
              <w:spacing w:after="0"/>
            </w:pPr>
            <w:r>
              <w:rPr>
                <w:b/>
                <w:color w:val="FFFFFF"/>
                <w:sz w:val="18"/>
              </w:rPr>
              <w:t>Foreslått prosjekttoleranse</w:t>
            </w:r>
          </w:p>
        </w:tc>
        <w:tc>
          <w:tcPr>
            <w:shd w:fill="12355B"/>
          </w:tcPr>
          <w:p>
            <w:pPr>
              <w:spacing w:after="0"/>
            </w:pPr>
            <w:r>
              <w:rPr>
                <w:b/>
                <w:color w:val="FFFFFF"/>
                <w:sz w:val="18"/>
              </w:rPr>
              <w:t>Eskalering</w:t>
            </w:r>
          </w:p>
        </w:tc>
      </w:tr>
      <w:tr>
        <w:tc>
          <w:tcPr/>
          <w:p>
            <w:pPr>
              <w:spacing w:after="0"/>
            </w:pPr>
            <w:r>
              <w:rPr>
                <w:color w:val="1F2937"/>
                <w:sz w:val="18"/>
              </w:rPr>
              <w:t>Tid</w:t>
            </w:r>
          </w:p>
        </w:tc>
        <w:tc>
          <w:tcPr/>
          <w:p>
            <w:pPr>
              <w:spacing w:after="0"/>
            </w:pPr>
            <w:r>
              <w:rPr>
                <w:color w:val="1F2937"/>
                <w:sz w:val="18"/>
              </w:rPr>
              <w:t>Kritiske milepæler maks 14 dager forsinket</w:t>
            </w:r>
          </w:p>
        </w:tc>
        <w:tc>
          <w:tcPr/>
          <w:p>
            <w:pPr>
              <w:spacing w:after="0"/>
            </w:pPr>
            <w:r>
              <w:rPr>
                <w:color w:val="1F2937"/>
                <w:sz w:val="18"/>
              </w:rPr>
              <w:t>Til Project Board</w:t>
            </w:r>
          </w:p>
        </w:tc>
      </w:tr>
      <w:tr>
        <w:tc>
          <w:tcPr/>
          <w:p>
            <w:pPr>
              <w:spacing w:after="0"/>
            </w:pPr>
            <w:r>
              <w:rPr>
                <w:color w:val="1F2937"/>
                <w:sz w:val="18"/>
              </w:rPr>
              <w:t>Kost</w:t>
            </w:r>
          </w:p>
        </w:tc>
        <w:tc>
          <w:tcPr/>
          <w:p>
            <w:pPr>
              <w:spacing w:after="0"/>
            </w:pPr>
            <w:r>
              <w:rPr>
                <w:color w:val="1F2937"/>
                <w:sz w:val="18"/>
              </w:rPr>
              <w:t>Maks 5-10 % negativ prognose før eskalering</w:t>
            </w:r>
          </w:p>
        </w:tc>
        <w:tc>
          <w:tcPr/>
          <w:p>
            <w:pPr>
              <w:spacing w:after="0"/>
            </w:pPr>
            <w:r>
              <w:rPr>
                <w:color w:val="1F2937"/>
                <w:sz w:val="18"/>
              </w:rPr>
              <w:t>Til Project Board</w:t>
            </w:r>
          </w:p>
        </w:tc>
      </w:tr>
      <w:tr>
        <w:tc>
          <w:tcPr/>
          <w:p>
            <w:pPr>
              <w:spacing w:after="0"/>
            </w:pPr>
            <w:r>
              <w:rPr>
                <w:color w:val="1F2937"/>
                <w:sz w:val="18"/>
              </w:rPr>
              <w:t>Kvalitet</w:t>
            </w:r>
          </w:p>
        </w:tc>
        <w:tc>
          <w:tcPr/>
          <w:p>
            <w:pPr>
              <w:spacing w:after="0"/>
            </w:pPr>
            <w:r>
              <w:rPr>
                <w:color w:val="1F2937"/>
                <w:sz w:val="18"/>
              </w:rPr>
              <w:t>Ingen avvik fra FIS-/HMS-kritiske krav</w:t>
            </w:r>
          </w:p>
        </w:tc>
        <w:tc>
          <w:tcPr/>
          <w:p>
            <w:pPr>
              <w:spacing w:after="0"/>
            </w:pPr>
            <w:r>
              <w:rPr>
                <w:color w:val="1F2937"/>
                <w:sz w:val="18"/>
              </w:rPr>
              <w:t>Umiddelbar eskalering</w:t>
            </w:r>
          </w:p>
        </w:tc>
      </w:tr>
      <w:tr>
        <w:tc>
          <w:tcPr/>
          <w:p>
            <w:pPr>
              <w:spacing w:after="0"/>
            </w:pPr>
            <w:r>
              <w:rPr>
                <w:color w:val="1F2937"/>
                <w:sz w:val="18"/>
              </w:rPr>
              <w:t>Scope</w:t>
            </w:r>
          </w:p>
        </w:tc>
        <w:tc>
          <w:tcPr/>
          <w:p>
            <w:pPr>
              <w:spacing w:after="0"/>
            </w:pPr>
            <w:r>
              <w:rPr>
                <w:color w:val="1F2937"/>
                <w:sz w:val="18"/>
              </w:rPr>
              <w:t>Slalåm og parallellslalåm for kvinner og menn</w:t>
            </w:r>
          </w:p>
        </w:tc>
        <w:tc>
          <w:tcPr/>
          <w:p>
            <w:pPr>
              <w:spacing w:after="0"/>
            </w:pPr>
            <w:r>
              <w:rPr>
                <w:color w:val="1F2937"/>
                <w:sz w:val="18"/>
              </w:rPr>
              <w:t>Endring krever Change Authority / Project Board</w:t>
            </w:r>
          </w:p>
        </w:tc>
      </w:tr>
      <w:tr>
        <w:tc>
          <w:tcPr/>
          <w:p>
            <w:pPr>
              <w:spacing w:after="0"/>
            </w:pPr>
            <w:r>
              <w:rPr>
                <w:color w:val="1F2937"/>
                <w:sz w:val="18"/>
              </w:rPr>
              <w:t>Risiko</w:t>
            </w:r>
          </w:p>
        </w:tc>
        <w:tc>
          <w:tcPr/>
          <w:p>
            <w:pPr>
              <w:spacing w:after="0"/>
            </w:pPr>
            <w:r>
              <w:rPr>
                <w:color w:val="1F2937"/>
                <w:sz w:val="18"/>
              </w:rPr>
              <w:t>Ingen røde risikoer uten tiltaksplan</w:t>
            </w:r>
          </w:p>
        </w:tc>
        <w:tc>
          <w:tcPr/>
          <w:p>
            <w:pPr>
              <w:spacing w:after="0"/>
            </w:pPr>
            <w:r>
              <w:rPr>
                <w:color w:val="1F2937"/>
                <w:sz w:val="18"/>
              </w:rPr>
              <w:t>Til Project Board</w:t>
            </w:r>
          </w:p>
        </w:tc>
      </w:tr>
      <w:tr>
        <w:tc>
          <w:tcPr/>
          <w:p>
            <w:pPr>
              <w:spacing w:after="0"/>
            </w:pPr>
            <w:r>
              <w:rPr>
                <w:color w:val="1F2937"/>
                <w:sz w:val="18"/>
              </w:rPr>
              <w:t>Gevinster</w:t>
            </w:r>
          </w:p>
        </w:tc>
        <w:tc>
          <w:tcPr/>
          <w:p>
            <w:pPr>
              <w:spacing w:after="0"/>
            </w:pPr>
            <w:r>
              <w:rPr>
                <w:color w:val="1F2937"/>
                <w:sz w:val="18"/>
              </w:rPr>
              <w:t>Prognose minst 80 % av definerte gevinstmål</w:t>
            </w:r>
          </w:p>
        </w:tc>
        <w:tc>
          <w:tcPr/>
          <w:p>
            <w:pPr>
              <w:spacing w:after="0"/>
            </w:pPr>
            <w:r>
              <w:rPr>
                <w:color w:val="1F2937"/>
                <w:sz w:val="18"/>
              </w:rPr>
              <w:t>Tiltaksplan / revurdering</w:t>
            </w:r>
          </w:p>
        </w:tc>
      </w:tr>
      <w:tr>
        <w:tc>
          <w:tcPr/>
          <w:p>
            <w:pPr>
              <w:spacing w:after="0"/>
            </w:pPr>
            <w:r>
              <w:rPr>
                <w:color w:val="1F2937"/>
                <w:sz w:val="18"/>
              </w:rPr>
              <w:t>Bærekraft</w:t>
            </w:r>
          </w:p>
        </w:tc>
        <w:tc>
          <w:tcPr/>
          <w:p>
            <w:pPr>
              <w:spacing w:after="0"/>
            </w:pPr>
            <w:r>
              <w:rPr>
                <w:color w:val="1F2937"/>
                <w:sz w:val="18"/>
              </w:rPr>
              <w:t>Vesentlige avvik fra bærekraftsplan eskaleres</w:t>
            </w:r>
          </w:p>
        </w:tc>
        <w:tc>
          <w:tcPr/>
          <w:p>
            <w:pPr>
              <w:spacing w:after="0"/>
            </w:pPr>
            <w:r>
              <w:rPr>
                <w:color w:val="1F2937"/>
                <w:sz w:val="18"/>
              </w:rPr>
              <w:t>Til Project Board</w:t>
            </w:r>
          </w:p>
        </w:tc>
      </w:tr>
    </w:tbl>
    <w:p>
      <w:pPr>
        <w:spacing w:after="120" w:line="276" w:lineRule="auto"/>
      </w:pPr>
      <w:r>
        <w:rPr>
          <w:sz w:val="21"/>
        </w:rPr>
        <w:t/>
      </w:r>
    </w:p>
    <w:p>
      <w:pPr>
        <w:spacing w:before="280" w:after="100"/>
        <w:keepNext/>
      </w:pPr>
      <w:r>
        <w:rPr>
          <w:b/>
          <w:color w:val="12355B"/>
          <w:sz w:val="26"/>
        </w:rPr>
        <w:t>Tids- og faseplan</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CellMar>
          <w:top w:w="90" w:type="dxa"/>
          <w:left w:w="90" w:type="dxa"/>
          <w:bottom w:w="90" w:type="dxa"/>
          <w:right w:w="90" w:type="dxa"/>
        </w:tblCellMar>
      </w:tblPr>
      <w:tblGrid>
        <w:gridCol w:w="2200"/>
        <w:gridCol w:w="2200"/>
        <w:gridCol w:w="2200"/>
      </w:tblGrid>
      <w:tr>
        <w:tc>
          <w:tcPr>
            <w:shd w:fill="12355B"/>
          </w:tcPr>
          <w:p>
            <w:pPr>
              <w:spacing w:after="0"/>
            </w:pPr>
            <w:r>
              <w:rPr>
                <w:b/>
                <w:color w:val="FFFFFF"/>
                <w:sz w:val="18"/>
              </w:rPr>
              <w:t>Fase</w:t>
            </w:r>
          </w:p>
        </w:tc>
        <w:tc>
          <w:tcPr>
            <w:shd w:fill="12355B"/>
          </w:tcPr>
          <w:p>
            <w:pPr>
              <w:spacing w:after="0"/>
            </w:pPr>
            <w:r>
              <w:rPr>
                <w:b/>
                <w:color w:val="FFFFFF"/>
                <w:sz w:val="18"/>
              </w:rPr>
              <w:t>Hovedinnhold</w:t>
            </w:r>
          </w:p>
        </w:tc>
        <w:tc>
          <w:tcPr>
            <w:shd w:fill="12355B"/>
          </w:tcPr>
          <w:p>
            <w:pPr>
              <w:spacing w:after="0"/>
            </w:pPr>
            <w:r>
              <w:rPr>
                <w:b/>
                <w:color w:val="FFFFFF"/>
                <w:sz w:val="18"/>
              </w:rPr>
              <w:t>Beslutningspunkt</w:t>
            </w:r>
          </w:p>
        </w:tc>
      </w:tr>
      <w:tr>
        <w:tc>
          <w:tcPr/>
          <w:p>
            <w:pPr>
              <w:spacing w:after="0"/>
            </w:pPr>
            <w:r>
              <w:rPr>
                <w:color w:val="1F2937"/>
                <w:sz w:val="18"/>
              </w:rPr>
              <w:t>T-24 til T-18 mnd</w:t>
            </w:r>
          </w:p>
        </w:tc>
        <w:tc>
          <w:tcPr/>
          <w:p>
            <w:pPr>
              <w:spacing w:after="0"/>
            </w:pPr>
            <w:r>
              <w:rPr>
                <w:color w:val="1F2937"/>
                <w:sz w:val="18"/>
              </w:rPr>
              <w:t>Konsept, FIS-dialog, arenaanalyse, foreløpig business case</w:t>
            </w:r>
          </w:p>
        </w:tc>
        <w:tc>
          <w:tcPr/>
          <w:p>
            <w:pPr>
              <w:spacing w:after="0"/>
            </w:pPr>
            <w:r>
              <w:rPr>
                <w:color w:val="1F2937"/>
                <w:sz w:val="18"/>
              </w:rPr>
              <w:t>Starte prosjekt</w:t>
            </w:r>
          </w:p>
        </w:tc>
      </w:tr>
      <w:tr>
        <w:tc>
          <w:tcPr/>
          <w:p>
            <w:pPr>
              <w:spacing w:after="0"/>
            </w:pPr>
            <w:r>
              <w:rPr>
                <w:color w:val="1F2937"/>
                <w:sz w:val="18"/>
              </w:rPr>
              <w:t>T-18 til T-12 mnd</w:t>
            </w:r>
          </w:p>
        </w:tc>
        <w:tc>
          <w:tcPr/>
          <w:p>
            <w:pPr>
              <w:spacing w:after="0"/>
            </w:pPr>
            <w:r>
              <w:rPr>
                <w:color w:val="1F2937"/>
                <w:sz w:val="18"/>
              </w:rPr>
              <w:t>Prosjektorganisasjon, sponsorstrategi, budsjett, myndighetsdialog</w:t>
            </w:r>
          </w:p>
        </w:tc>
        <w:tc>
          <w:tcPr/>
          <w:p>
            <w:pPr>
              <w:spacing w:after="0"/>
            </w:pPr>
            <w:r>
              <w:rPr>
                <w:color w:val="1F2937"/>
                <w:sz w:val="18"/>
              </w:rPr>
              <w:t>Godkjenne initiering</w:t>
            </w:r>
          </w:p>
        </w:tc>
      </w:tr>
      <w:tr>
        <w:tc>
          <w:tcPr/>
          <w:p>
            <w:pPr>
              <w:spacing w:after="0"/>
            </w:pPr>
            <w:r>
              <w:rPr>
                <w:color w:val="1F2937"/>
                <w:sz w:val="18"/>
              </w:rPr>
              <w:t>T-12 til T-6 mnd</w:t>
            </w:r>
          </w:p>
        </w:tc>
        <w:tc>
          <w:tcPr/>
          <w:p>
            <w:pPr>
              <w:spacing w:after="0"/>
            </w:pPr>
            <w:r>
              <w:rPr>
                <w:color w:val="1F2937"/>
                <w:sz w:val="18"/>
              </w:rPr>
              <w:t>Leverandører, frivillige, billett, TV/media, HMS, transport</w:t>
            </w:r>
          </w:p>
        </w:tc>
        <w:tc>
          <w:tcPr/>
          <w:p>
            <w:pPr>
              <w:spacing w:after="0"/>
            </w:pPr>
            <w:r>
              <w:rPr>
                <w:color w:val="1F2937"/>
                <w:sz w:val="18"/>
              </w:rPr>
              <w:t>Full gjennomføring / justering</w:t>
            </w:r>
          </w:p>
        </w:tc>
      </w:tr>
      <w:tr>
        <w:tc>
          <w:tcPr/>
          <w:p>
            <w:pPr>
              <w:spacing w:after="0"/>
            </w:pPr>
            <w:r>
              <w:rPr>
                <w:color w:val="1F2937"/>
                <w:sz w:val="18"/>
              </w:rPr>
              <w:t>T-6 til T-1 mnd</w:t>
            </w:r>
          </w:p>
        </w:tc>
        <w:tc>
          <w:tcPr/>
          <w:p>
            <w:pPr>
              <w:spacing w:after="0"/>
            </w:pPr>
            <w:r>
              <w:rPr>
                <w:color w:val="1F2937"/>
                <w:sz w:val="18"/>
              </w:rPr>
              <w:t>Operativ plan, test, beredskap, løype, kommunikasjon</w:t>
            </w:r>
          </w:p>
        </w:tc>
        <w:tc>
          <w:tcPr/>
          <w:p>
            <w:pPr>
              <w:spacing w:after="0"/>
            </w:pPr>
            <w:r>
              <w:rPr>
                <w:color w:val="1F2937"/>
                <w:sz w:val="18"/>
              </w:rPr>
              <w:t>Go/no-go</w:t>
            </w:r>
          </w:p>
        </w:tc>
      </w:tr>
      <w:tr>
        <w:tc>
          <w:tcPr/>
          <w:p>
            <w:pPr>
              <w:spacing w:after="0"/>
            </w:pPr>
            <w:r>
              <w:rPr>
                <w:color w:val="1F2937"/>
                <w:sz w:val="18"/>
              </w:rPr>
              <w:t>Arrangement</w:t>
            </w:r>
          </w:p>
        </w:tc>
        <w:tc>
          <w:tcPr/>
          <w:p>
            <w:pPr>
              <w:spacing w:after="0"/>
            </w:pPr>
            <w:r>
              <w:rPr>
                <w:color w:val="1F2937"/>
                <w:sz w:val="18"/>
              </w:rPr>
              <w:t>Daglig styring, HMS, sport, publikum, media</w:t>
            </w:r>
          </w:p>
        </w:tc>
        <w:tc>
          <w:tcPr/>
          <w:p>
            <w:pPr>
              <w:spacing w:after="0"/>
            </w:pPr>
            <w:r>
              <w:rPr>
                <w:color w:val="1F2937"/>
                <w:sz w:val="18"/>
              </w:rPr>
              <w:t>Daglige beslutningsmøter</w:t>
            </w:r>
          </w:p>
        </w:tc>
      </w:tr>
      <w:tr>
        <w:tc>
          <w:tcPr/>
          <w:p>
            <w:pPr>
              <w:spacing w:after="0"/>
            </w:pPr>
            <w:r>
              <w:rPr>
                <w:color w:val="1F2937"/>
                <w:sz w:val="18"/>
              </w:rPr>
              <w:t>T+1 til T+3 mnd</w:t>
            </w:r>
          </w:p>
        </w:tc>
        <w:tc>
          <w:tcPr/>
          <w:p>
            <w:pPr>
              <w:spacing w:after="0"/>
            </w:pPr>
            <w:r>
              <w:rPr>
                <w:color w:val="1F2937"/>
                <w:sz w:val="18"/>
              </w:rPr>
              <w:t>Sluttrapport, regnskap, gevinstmåling, læring</w:t>
            </w:r>
          </w:p>
        </w:tc>
        <w:tc>
          <w:tcPr/>
          <w:p>
            <w:pPr>
              <w:spacing w:after="0"/>
            </w:pPr>
            <w:r>
              <w:rPr>
                <w:color w:val="1F2937"/>
                <w:sz w:val="18"/>
              </w:rPr>
              <w:t>Lukke prosjekt</w:t>
            </w:r>
          </w:p>
        </w:tc>
      </w:tr>
    </w:tbl>
    <w:p>
      <w:pPr>
        <w:spacing w:after="120" w:line="276" w:lineRule="auto"/>
      </w:pPr>
      <w:r>
        <w:rPr>
          <w:sz w:val="21"/>
        </w:rPr>
        <w:t/>
      </w:r>
    </w:p>
    <w:p>
      <w:pPr>
        <w:spacing w:before="280" w:after="100"/>
        <w:keepNext/>
      </w:pPr>
      <w:r>
        <w:rPr>
          <w:b/>
          <w:color w:val="12355B"/>
          <w:sz w:val="26"/>
        </w:rPr>
        <w:t>Anbefaling</w:t>
      </w:r>
    </w:p>
    <w:p>
      <w:pPr>
        <w:spacing w:after="120" w:line="276" w:lineRule="auto"/>
      </w:pPr>
      <w:r>
        <w:rPr>
          <w:sz w:val="21"/>
        </w:rPr>
        <w:t>Prosjektet anbefales videreført til initieringsfase dersom arena og løype vurderes realistisk for FIS-krav, finansieringsplan viser realistisk balanse, prosjektstyre og prosjektleder er etablert, risikoregister har eiere og tiltak, bærekraftsmål er integrert i plan og innkjøp, og sponsor- og publikumsstrategi er realistisk.</w:t>
      </w:r>
    </w:p>
    <w:p>
      <w:pPr>
        <w:spacing w:after="120" w:line="276" w:lineRule="auto"/>
      </w:pPr>
      <w:r>
        <w:rPr>
          <w:sz w:val="21"/>
        </w:rPr>
        <w:t>Foreløpig beslutning: Viderefør prosjektet til neste PRINCE2-fase med et oppdatert business case, mer presist budsjett og tydelig go/no-go-punkt senest T-6 måneder før arrangementet.</w:t>
      </w:r>
    </w:p>
    <w:p>
      <w:pPr>
        <w:spacing w:before="280" w:after="100"/>
        <w:keepNext/>
      </w:pPr>
      <w:r>
        <w:rPr>
          <w:b/>
          <w:color w:val="12355B"/>
          <w:sz w:val="26"/>
        </w:rPr>
        <w:t>PRINCE2-samsvar</w:t>
      </w:r>
    </w:p>
    <w:p>
      <w:pPr>
        <w:spacing w:after="120" w:line="276" w:lineRule="auto"/>
      </w:pPr>
      <w:r>
        <w:rPr>
          <w:sz w:val="21"/>
        </w:rPr>
        <w:t>Dette business case-et støtter særlig PRINCE2-prinsippet om continued business justification: prosjektet skal bare fortsette så lenge det er ønskelig, gjennomførbart og oppnåelig. Det bør oppdateres ved hver stage boundary, ved store endringer, og når risiko, kostnader eller gevinster endrer seg vesentlig.</w:t>
      </w:r>
    </w:p>
    <w:sectPr>
      <w:pgSz w:w="11906" w:h="16838"/>
      <w:pgMar w:top="1134" w:right="850" w:bottom="1134" w:left="850" w:header="708" w:footer="708" w:gutter="0"/>
    </w:sectPr>
  </w:body>
</w:document>
</file>

<file path=word/styles.xml><?xml version="1.0" encoding="utf-8"?>
<w:styles xmlns:w="http://schemas.openxmlformats.org/wordprocessingml/2006/main">
  <w:style w:type="paragraph" w:default="1" w:styleId="Normal">
    <w:name w:val="Normal"/>
    <w:rPr>
      <w:rFonts w:ascii="Arial" w:hAnsi="Arial"/>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Business Case World Cup Alpint Wyllerløypa 2028</dc:title>
  <dc:creator>Codex</dc:creator>
  <cp:lastModifiedBy>Codex</cp:lastModifiedBy>
  <dcterms:created xsi:type="dcterms:W3CDTF">2026-06-10T16:44:59Z</dcterms:created>
  <dcterms:modified xsi:type="dcterms:W3CDTF">2026-06-10T16:44:59Z</dcterms:modified>
</cp:coreProperties>
</file>