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Making Exclusion Actionable: Geographic Market Devices for Identifying Prospective College Students</w:t>
      </w:r>
    </w:p>
    <w:p>
      <w:pPr>
        <w:pStyle w:val="Author"/>
      </w:pPr>
      <w:r>
        <w:t xml:space="preserve">Ozan Jaquette (UCLA)*</w:t>
      </w:r>
    </w:p>
    <w:p>
      <w:pPr>
        <w:pStyle w:val="Author"/>
      </w:pPr>
      <w:r>
        <w:t xml:space="preserve">Karina Salazar (University of Arizona)</w:t>
      </w:r>
    </w:p>
    <w:p>
      <w:pPr>
        <w:pStyle w:val="Author"/>
      </w:pPr>
      <w:r>
        <w:t xml:space="preserve">Crystal Han (Stanford University)</w:t>
      </w:r>
    </w:p>
    <w:p>
      <w:pPr>
        <w:spacing w:before="0" w:after="0" w:line="400" w:lineRule="exact"/>
      </w:pPr>
    </w:p>
    <w:p>
      <w:pPr>
        <w:spacing w:after="8000" w:line="240" w:lineRule="auto"/>
      </w:pPr>
    </w:p>
    <w:p>
      <w:pPr>
        <w:pStyle w:val="FirstParagraph"/>
      </w:pPr>
      <w:r>
        <w:t xml:space="preserve">*Corresponding Author</w:t>
      </w:r>
    </w:p>
    <w:p>
      <w:pPr>
        <w:pStyle w:val="BodyText"/>
      </w:pPr>
      <w:r>
        <w:rPr>
          <w:b/>
          <w:bCs/>
        </w:rPr>
        <w:t xml:space="preserve">Address</w:t>
      </w:r>
      <w:r>
        <w:t xml:space="preserve">: Moore Hall 3038, 405 Hilgard Avenue, Los Angeles, CA 90095-1521</w:t>
      </w:r>
    </w:p>
    <w:p>
      <w:pPr>
        <w:pStyle w:val="BodyText"/>
      </w:pPr>
      <w:r>
        <w:rPr>
          <w:b/>
          <w:bCs/>
        </w:rPr>
        <w:t xml:space="preserve">Phone</w:t>
      </w:r>
      <w:r>
        <w:t xml:space="preserve">: (310) 206-3030</w:t>
      </w:r>
    </w:p>
    <w:p>
      <w:pPr>
        <w:pStyle w:val="BodyText"/>
      </w:pPr>
      <w:r>
        <w:rPr>
          <w:b/>
          <w:bCs/>
        </w:rPr>
        <w:t xml:space="preserve">Email</w:t>
      </w:r>
      <w:r>
        <w:t xml:space="preserve">: ozanj@ucla.edu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40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  <w:spacing w:after="0" w:before="0"/>
      <w:contextualSpacing/>
      <w:jc w:val="center"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hd w:fill="f1f3f5" w:val="clear"/>
    </w:pPr>
  </w:style>
  <w:style w:customStyle="1" w:styleId="KeywordTok" w:type="character">
    <w:name w:val="KeywordTok"/>
    <w:basedOn w:val="VerbatimChar"/>
    <w:rPr>
      <w:b/>
      <w:color w:val="003b4f"/>
      <w:shd w:fill="f1f3f5" w:val="clear"/>
    </w:rPr>
  </w:style>
  <w:style w:customStyle="1" w:styleId="DataTypeTok" w:type="character">
    <w:name w:val="DataTypeTok"/>
    <w:basedOn w:val="VerbatimChar"/>
    <w:rPr>
      <w:color w:val="ad0000"/>
      <w:shd w:fill="f1f3f5" w:val="clear"/>
    </w:rPr>
  </w:style>
  <w:style w:customStyle="1" w:styleId="DecValTok" w:type="character">
    <w:name w:val="DecValTok"/>
    <w:basedOn w:val="VerbatimChar"/>
    <w:rPr>
      <w:color w:val="ad0000"/>
      <w:shd w:fill="f1f3f5" w:val="clear"/>
    </w:rPr>
  </w:style>
  <w:style w:customStyle="1" w:styleId="BaseNTok" w:type="character">
    <w:name w:val="BaseNTok"/>
    <w:basedOn w:val="VerbatimChar"/>
    <w:rPr>
      <w:color w:val="ad0000"/>
      <w:shd w:fill="f1f3f5" w:val="clear"/>
    </w:rPr>
  </w:style>
  <w:style w:customStyle="1" w:styleId="FloatTok" w:type="character">
    <w:name w:val="FloatTok"/>
    <w:basedOn w:val="VerbatimChar"/>
    <w:rPr>
      <w:color w:val="ad0000"/>
      <w:shd w:fill="f1f3f5" w:val="clear"/>
    </w:rPr>
  </w:style>
  <w:style w:customStyle="1" w:styleId="ConstantTok" w:type="character">
    <w:name w:val="ConstantTok"/>
    <w:basedOn w:val="VerbatimChar"/>
    <w:rPr>
      <w:color w:val="8f5902"/>
      <w:shd w:fill="f1f3f5" w:val="clear"/>
    </w:rPr>
  </w:style>
  <w:style w:customStyle="1" w:styleId="CharTok" w:type="character">
    <w:name w:val="CharTok"/>
    <w:basedOn w:val="VerbatimChar"/>
    <w:rPr>
      <w:color w:val="20794d"/>
      <w:shd w:fill="f1f3f5" w:val="clear"/>
    </w:rPr>
  </w:style>
  <w:style w:customStyle="1" w:styleId="SpecialCharTok" w:type="character">
    <w:name w:val="SpecialCharTok"/>
    <w:basedOn w:val="VerbatimChar"/>
    <w:rPr>
      <w:color w:val="5e5e5e"/>
      <w:shd w:fill="f1f3f5" w:val="clear"/>
    </w:rPr>
  </w:style>
  <w:style w:customStyle="1" w:styleId="StringTok" w:type="character">
    <w:name w:val="StringTok"/>
    <w:basedOn w:val="VerbatimChar"/>
    <w:rPr>
      <w:color w:val="20794d"/>
      <w:shd w:fill="f1f3f5" w:val="clear"/>
    </w:rPr>
  </w:style>
  <w:style w:customStyle="1" w:styleId="VerbatimStringTok" w:type="character">
    <w:name w:val="VerbatimStringTok"/>
    <w:basedOn w:val="VerbatimChar"/>
    <w:rPr>
      <w:color w:val="20794d"/>
      <w:shd w:fill="f1f3f5" w:val="clear"/>
    </w:rPr>
  </w:style>
  <w:style w:customStyle="1" w:styleId="SpecialStringTok" w:type="character">
    <w:name w:val="SpecialStringTok"/>
    <w:basedOn w:val="VerbatimChar"/>
    <w:rPr>
      <w:color w:val="20794d"/>
      <w:shd w:fill="f1f3f5" w:val="clear"/>
    </w:rPr>
  </w:style>
  <w:style w:customStyle="1" w:styleId="ImportTok" w:type="character">
    <w:name w:val="ImportTok"/>
    <w:basedOn w:val="VerbatimChar"/>
    <w:rPr>
      <w:color w:val="00769e"/>
      <w:shd w:fill="f1f3f5" w:val="clear"/>
    </w:rPr>
  </w:style>
  <w:style w:customStyle="1" w:styleId="CommentTok" w:type="character">
    <w:name w:val="CommentTok"/>
    <w:basedOn w:val="VerbatimChar"/>
    <w:rPr>
      <w:color w:val="5e5e5e"/>
      <w:shd w:fill="f1f3f5" w:val="clear"/>
    </w:rPr>
  </w:style>
  <w:style w:customStyle="1" w:styleId="DocumentationTok" w:type="character">
    <w:name w:val="DocumentationTok"/>
    <w:basedOn w:val="VerbatimChar"/>
    <w:rPr>
      <w:i/>
      <w:color w:val="5e5e5e"/>
      <w:shd w:fill="f1f3f5" w:val="clear"/>
    </w:rPr>
  </w:style>
  <w:style w:customStyle="1" w:styleId="AnnotationTok" w:type="character">
    <w:name w:val="AnnotationTok"/>
    <w:basedOn w:val="VerbatimChar"/>
    <w:rPr>
      <w:color w:val="5e5e5e"/>
      <w:shd w:fill="f1f3f5" w:val="clear"/>
    </w:rPr>
  </w:style>
  <w:style w:customStyle="1" w:styleId="CommentVarTok" w:type="character">
    <w:name w:val="CommentVarTok"/>
    <w:basedOn w:val="VerbatimChar"/>
    <w:rPr>
      <w:i/>
      <w:color w:val="5e5e5e"/>
      <w:shd w:fill="f1f3f5" w:val="clear"/>
    </w:rPr>
  </w:style>
  <w:style w:customStyle="1" w:styleId="OtherTok" w:type="character">
    <w:name w:val="OtherTok"/>
    <w:basedOn w:val="VerbatimChar"/>
    <w:rPr>
      <w:color w:val="003b4f"/>
      <w:shd w:fill="f1f3f5" w:val="clear"/>
    </w:rPr>
  </w:style>
  <w:style w:customStyle="1" w:styleId="FunctionTok" w:type="character">
    <w:name w:val="FunctionTok"/>
    <w:basedOn w:val="VerbatimChar"/>
    <w:rPr>
      <w:color w:val="4758ab"/>
      <w:shd w:fill="f1f3f5" w:val="clear"/>
    </w:rPr>
  </w:style>
  <w:style w:customStyle="1" w:styleId="VariableTok" w:type="character">
    <w:name w:val="VariableTok"/>
    <w:basedOn w:val="VerbatimChar"/>
    <w:rPr>
      <w:color w:val="111111"/>
      <w:shd w:fill="f1f3f5" w:val="clear"/>
    </w:rPr>
  </w:style>
  <w:style w:customStyle="1" w:styleId="ControlFlowTok" w:type="character">
    <w:name w:val="ControlFlowTok"/>
    <w:basedOn w:val="VerbatimChar"/>
    <w:rPr>
      <w:b/>
      <w:color w:val="003b4f"/>
      <w:shd w:fill="f1f3f5" w:val="clear"/>
    </w:rPr>
  </w:style>
  <w:style w:customStyle="1" w:styleId="OperatorTok" w:type="character">
    <w:name w:val="OperatorTok"/>
    <w:basedOn w:val="VerbatimChar"/>
    <w:rPr>
      <w:color w:val="5e5e5e"/>
      <w:shd w:fill="f1f3f5" w:val="clear"/>
    </w:rPr>
  </w:style>
  <w:style w:customStyle="1" w:styleId="BuiltInTok" w:type="character">
    <w:name w:val="BuiltInTok"/>
    <w:basedOn w:val="VerbatimChar"/>
    <w:rPr>
      <w:color w:val="003b4f"/>
      <w:shd w:fill="f1f3f5" w:val="clear"/>
    </w:rPr>
  </w:style>
  <w:style w:customStyle="1" w:styleId="ExtensionTok" w:type="character">
    <w:name w:val="ExtensionTok"/>
    <w:basedOn w:val="VerbatimChar"/>
    <w:rPr>
      <w:color w:val="003b4f"/>
      <w:shd w:fill="f1f3f5" w:val="clear"/>
    </w:rPr>
  </w:style>
  <w:style w:customStyle="1" w:styleId="PreprocessorTok" w:type="character">
    <w:name w:val="PreprocessorTok"/>
    <w:basedOn w:val="VerbatimChar"/>
    <w:rPr>
      <w:color w:val="ad0000"/>
      <w:shd w:fill="f1f3f5" w:val="clear"/>
    </w:rPr>
  </w:style>
  <w:style w:customStyle="1" w:styleId="AttributeTok" w:type="character">
    <w:name w:val="AttributeTok"/>
    <w:basedOn w:val="VerbatimChar"/>
    <w:rPr>
      <w:color w:val="657422"/>
      <w:shd w:fill="f1f3f5" w:val="clear"/>
    </w:rPr>
  </w:style>
  <w:style w:customStyle="1" w:styleId="RegionMarkerTok" w:type="character">
    <w:name w:val="RegionMarkerTok"/>
    <w:basedOn w:val="VerbatimChar"/>
    <w:rPr>
      <w:color w:val="003b4f"/>
      <w:shd w:fill="f1f3f5" w:val="clear"/>
    </w:rPr>
  </w:style>
  <w:style w:customStyle="1" w:styleId="InformationTok" w:type="character">
    <w:name w:val="InformationTok"/>
    <w:basedOn w:val="VerbatimChar"/>
    <w:rPr>
      <w:color w:val="5e5e5e"/>
      <w:shd w:fill="f1f3f5" w:val="clear"/>
    </w:rPr>
  </w:style>
  <w:style w:customStyle="1" w:styleId="WarningTok" w:type="character">
    <w:name w:val="WarningTok"/>
    <w:basedOn w:val="VerbatimChar"/>
    <w:rPr>
      <w:i/>
      <w:color w:val="5e5e5e"/>
      <w:shd w:fill="f1f3f5" w:val="clear"/>
    </w:rPr>
  </w:style>
  <w:style w:customStyle="1" w:styleId="AlertTok" w:type="character">
    <w:name w:val="AlertTok"/>
    <w:basedOn w:val="VerbatimChar"/>
    <w:rPr>
      <w:color w:val="ad0000"/>
      <w:shd w:fill="f1f3f5" w:val="clear"/>
    </w:rPr>
  </w:style>
  <w:style w:customStyle="1" w:styleId="ErrorTok" w:type="character">
    <w:name w:val="ErrorTok"/>
    <w:basedOn w:val="VerbatimChar"/>
    <w:rPr>
      <w:color w:val="ad0000"/>
      <w:shd w:fill="f1f3f5" w:val="clear"/>
    </w:rPr>
  </w:style>
  <w:style w:customStyle="1" w:styleId="NormalTok" w:type="character">
    <w:name w:val="NormalTok"/>
    <w:basedOn w:val="VerbatimChar"/>
    <w:rPr>
      <w:color w:val="003b4f"/>
      <w:shd w:fill="f1f3f5" w:val="clear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Making Exclusion Actionable: Geographic Market Devices for Identifying Prospective College Students</dc:title>
  <dc:creator>Ozan Jaquette (UCLA)*; Karina Salazar (University of Arizona); Crystal Han (Stanford University)</dc:creator>
  <cp:keywords/>
  <dcterms:created xsi:type="dcterms:W3CDTF">2026-08-20T21:16:10Z</dcterms:created>
  <dcterms:modified xsi:type="dcterms:W3CDTF">2026-08-20T21:16:10Z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geometry">
    <vt:lpwstr>margin=1in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