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 w:rsidRPr="00CD5A4D">
        <w:rPr>
          <w:rFonts w:ascii="Times New Roman" w:hAnsi="Times New Roman" w:cs="Times New Roman"/>
          <w:b/>
          <w:sz w:val="24"/>
        </w:rPr>
        <w:t>MIDDLE EAST TECHNICAL UNIVERSITY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 w:rsidRPr="00CD5A4D">
        <w:rPr>
          <w:rFonts w:ascii="Times New Roman" w:hAnsi="Times New Roman" w:cs="Times New Roman"/>
          <w:b/>
          <w:sz w:val="24"/>
        </w:rPr>
        <w:t>DEPARTMENT OF CIVIL ENGINEERING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 w:rsidRPr="00CD5A4D">
        <w:rPr>
          <w:rFonts w:ascii="Times New Roman" w:hAnsi="Times New Roman" w:cs="Times New Roman"/>
          <w:b/>
          <w:sz w:val="24"/>
        </w:rPr>
        <w:t xml:space="preserve">CE </w:t>
      </w:r>
      <w:r>
        <w:rPr>
          <w:rFonts w:ascii="Times New Roman" w:hAnsi="Times New Roman" w:cs="Times New Roman"/>
          <w:b/>
          <w:sz w:val="24"/>
        </w:rPr>
        <w:t>344</w:t>
      </w:r>
      <w:r w:rsidRPr="00CD5A4D">
        <w:rPr>
          <w:rFonts w:ascii="Times New Roman" w:hAnsi="Times New Roman" w:cs="Times New Roman"/>
          <w:b/>
          <w:sz w:val="24"/>
        </w:rPr>
        <w:t xml:space="preserve">: MATERIALS </w:t>
      </w:r>
      <w:r>
        <w:rPr>
          <w:rFonts w:ascii="Times New Roman" w:hAnsi="Times New Roman" w:cs="Times New Roman"/>
          <w:b/>
          <w:sz w:val="24"/>
        </w:rPr>
        <w:t>OF CONSTRUCTION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sz w:val="24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sz w:val="24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sz w:val="24"/>
        </w:rPr>
      </w:pPr>
    </w:p>
    <w:p w:rsidR="00D24059" w:rsidRPr="00D24059" w:rsidRDefault="00D24059" w:rsidP="00D24059">
      <w:pPr>
        <w:jc w:val="center"/>
        <w:rPr>
          <w:rFonts w:ascii="Times New Roman" w:hAnsi="Times New Roman" w:cs="Times New Roman"/>
          <w:b/>
          <w:sz w:val="20"/>
        </w:rPr>
      </w:pPr>
      <w:r w:rsidRPr="00CD5A4D">
        <w:rPr>
          <w:rFonts w:ascii="Times New Roman" w:hAnsi="Times New Roman" w:cs="Times New Roman"/>
          <w:b/>
          <w:sz w:val="24"/>
        </w:rPr>
        <w:t xml:space="preserve">LABORATORY REPORT </w:t>
      </w:r>
      <w:r>
        <w:rPr>
          <w:rFonts w:ascii="Times New Roman" w:hAnsi="Times New Roman" w:cs="Times New Roman"/>
          <w:b/>
          <w:sz w:val="24"/>
        </w:rPr>
        <w:t>1</w:t>
      </w:r>
      <w:r w:rsidRPr="00CD5A4D">
        <w:rPr>
          <w:rFonts w:ascii="Times New Roman" w:hAnsi="Times New Roman" w:cs="Times New Roman"/>
          <w:b/>
          <w:sz w:val="24"/>
        </w:rPr>
        <w:t xml:space="preserve">: </w:t>
      </w:r>
      <w:r w:rsidRPr="00D24059">
        <w:rPr>
          <w:rFonts w:ascii="Times New Roman" w:hAnsi="Times New Roman" w:cs="Times New Roman"/>
          <w:b/>
          <w:sz w:val="24"/>
          <w:szCs w:val="30"/>
        </w:rPr>
        <w:t xml:space="preserve">TESTS ON </w:t>
      </w:r>
      <w:r w:rsidR="002910CB">
        <w:rPr>
          <w:rFonts w:ascii="Times New Roman" w:hAnsi="Times New Roman" w:cs="Times New Roman"/>
          <w:b/>
          <w:sz w:val="24"/>
          <w:szCs w:val="30"/>
        </w:rPr>
        <w:t>AGGREGATES</w:t>
      </w:r>
    </w:p>
    <w:p w:rsidR="00D24059" w:rsidRPr="00D24059" w:rsidRDefault="00D24059" w:rsidP="00D24059">
      <w:pPr>
        <w:jc w:val="center"/>
        <w:rPr>
          <w:rFonts w:ascii="Times New Roman" w:hAnsi="Times New Roman" w:cs="Times New Roman"/>
          <w:b/>
          <w:sz w:val="20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sz w:val="24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 w:rsidRPr="00CD5A4D">
        <w:rPr>
          <w:rFonts w:ascii="Times New Roman" w:hAnsi="Times New Roman" w:cs="Times New Roman"/>
          <w:b/>
          <w:sz w:val="24"/>
        </w:rPr>
        <w:t xml:space="preserve">LAB GROUP: </w:t>
      </w:r>
      <w:r>
        <w:rPr>
          <w:rFonts w:ascii="Times New Roman" w:hAnsi="Times New Roman" w:cs="Times New Roman"/>
          <w:b/>
          <w:sz w:val="24"/>
        </w:rPr>
        <w:t>#8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sz w:val="24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sz w:val="24"/>
        </w:rPr>
      </w:pPr>
    </w:p>
    <w:p w:rsidR="00D24059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HALİL CAN TOPTAŞ</w:t>
      </w:r>
    </w:p>
    <w:p w:rsidR="00D24059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2026540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#2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</w:p>
    <w:p w:rsidR="00D24059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BARTU HÜSEYİN ŞENDAĞ</w:t>
      </w:r>
    </w:p>
    <w:p w:rsidR="00D24059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1933316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#5</w:t>
      </w: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</w:p>
    <w:p w:rsidR="00D24059" w:rsidRPr="00CD5A4D" w:rsidRDefault="00D24059" w:rsidP="00D24059">
      <w:pPr>
        <w:jc w:val="center"/>
        <w:rPr>
          <w:rFonts w:ascii="Times New Roman" w:hAnsi="Times New Roman" w:cs="Times New Roman"/>
          <w:b/>
          <w:sz w:val="24"/>
        </w:rPr>
      </w:pPr>
    </w:p>
    <w:p w:rsidR="00D24059" w:rsidRPr="00CD5A4D" w:rsidRDefault="002910CB" w:rsidP="00D2405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SUBMISSION DATE: 2</w:t>
      </w:r>
      <w:r w:rsidR="0038195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.04</w:t>
      </w:r>
      <w:r w:rsidR="00D24059" w:rsidRPr="00CD5A4D">
        <w:rPr>
          <w:rFonts w:ascii="Times New Roman" w:hAnsi="Times New Roman" w:cs="Times New Roman"/>
          <w:b/>
          <w:sz w:val="24"/>
        </w:rPr>
        <w:t>.201</w:t>
      </w:r>
      <w:r>
        <w:rPr>
          <w:rFonts w:ascii="Times New Roman" w:hAnsi="Times New Roman" w:cs="Times New Roman"/>
          <w:b/>
          <w:sz w:val="24"/>
        </w:rPr>
        <w:t>9</w:t>
      </w:r>
    </w:p>
    <w:p w:rsidR="00D24059" w:rsidRPr="00DD1EDB" w:rsidRDefault="00D24059" w:rsidP="00D24059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DD1EDB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Table of Contents</w:t>
      </w:r>
    </w:p>
    <w:p w:rsidR="00D24059" w:rsidRDefault="00D24059" w:rsidP="00D24059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Object and Scope</w:t>
      </w:r>
      <w:r>
        <w:rPr>
          <w:b w:val="0"/>
          <w:lang w:val="tr-TR"/>
        </w:rPr>
        <w:t>............................................................................................................1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Preliminary Remarks</w:t>
      </w:r>
      <w:r>
        <w:rPr>
          <w:b w:val="0"/>
          <w:lang w:val="tr-TR"/>
        </w:rPr>
        <w:t>.......................................................................................................1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Test Specimen</w:t>
      </w:r>
      <w:r>
        <w:rPr>
          <w:b w:val="0"/>
          <w:lang w:val="tr-TR"/>
        </w:rPr>
        <w:t>.................................................................................................................1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Apparatus</w:t>
      </w:r>
      <w:r>
        <w:rPr>
          <w:b w:val="0"/>
          <w:lang w:val="tr-TR"/>
        </w:rPr>
        <w:t>........................................................................................................................2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Test Procedure</w:t>
      </w:r>
      <w:r>
        <w:rPr>
          <w:b w:val="0"/>
          <w:lang w:val="tr-TR"/>
        </w:rPr>
        <w:t>.................................................................................................................2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Calculations</w:t>
      </w:r>
      <w:r>
        <w:rPr>
          <w:b w:val="0"/>
          <w:lang w:val="tr-TR"/>
        </w:rPr>
        <w:t>......................................................................................</w:t>
      </w:r>
      <w:r w:rsidR="002B7F10">
        <w:rPr>
          <w:b w:val="0"/>
          <w:lang w:val="tr-TR"/>
        </w:rPr>
        <w:t>...............................2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Results</w:t>
      </w:r>
      <w:r>
        <w:rPr>
          <w:b w:val="0"/>
          <w:lang w:val="tr-TR"/>
        </w:rPr>
        <w:t>.............................................................................................................................4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Discussion of Result</w:t>
      </w:r>
      <w:r>
        <w:rPr>
          <w:b w:val="0"/>
          <w:lang w:val="tr-TR"/>
        </w:rPr>
        <w:t>s.......................................................................</w:t>
      </w:r>
      <w:r w:rsidR="002B7F10">
        <w:rPr>
          <w:b w:val="0"/>
          <w:lang w:val="tr-TR"/>
        </w:rPr>
        <w:t>...............................5</w:t>
      </w:r>
    </w:p>
    <w:p w:rsidR="00D24059" w:rsidRPr="00DD1EDB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Conclusion</w:t>
      </w:r>
      <w:r>
        <w:rPr>
          <w:b w:val="0"/>
          <w:lang w:val="tr-TR"/>
        </w:rPr>
        <w:t>.......................................................................................</w:t>
      </w:r>
      <w:r w:rsidR="002B7F10">
        <w:rPr>
          <w:b w:val="0"/>
          <w:lang w:val="tr-TR"/>
        </w:rPr>
        <w:t>...............................9</w:t>
      </w:r>
    </w:p>
    <w:p w:rsidR="00D24059" w:rsidRDefault="00D24059" w:rsidP="00D24059">
      <w:pPr>
        <w:pStyle w:val="ListeParagraf"/>
        <w:numPr>
          <w:ilvl w:val="0"/>
          <w:numId w:val="4"/>
        </w:numPr>
        <w:ind w:hanging="720"/>
        <w:rPr>
          <w:b w:val="0"/>
          <w:lang w:val="tr-TR"/>
        </w:rPr>
      </w:pPr>
      <w:r w:rsidRPr="00DD1EDB">
        <w:rPr>
          <w:b w:val="0"/>
          <w:lang w:val="tr-TR"/>
        </w:rPr>
        <w:t>References</w:t>
      </w:r>
      <w:r>
        <w:rPr>
          <w:b w:val="0"/>
          <w:lang w:val="tr-TR"/>
        </w:rPr>
        <w:t>........................................................................................</w:t>
      </w:r>
      <w:r w:rsidR="002B7F10">
        <w:rPr>
          <w:b w:val="0"/>
          <w:lang w:val="tr-TR"/>
        </w:rPr>
        <w:t>...............................9</w:t>
      </w:r>
    </w:p>
    <w:p w:rsidR="00D24059" w:rsidRDefault="00D24059" w:rsidP="00D24059">
      <w:pPr>
        <w:rPr>
          <w:lang w:val="tr-TR"/>
        </w:rPr>
      </w:pPr>
    </w:p>
    <w:p w:rsidR="00AB0F2C" w:rsidRDefault="00AB0F2C" w:rsidP="007B644A">
      <w:pPr>
        <w:rPr>
          <w:lang w:val="tr-TR"/>
        </w:rPr>
        <w:sectPr w:rsidR="00AB0F2C" w:rsidSect="00AB0F2C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654D7" w:rsidRPr="00AB0F2C" w:rsidRDefault="007B644A" w:rsidP="007B644A">
      <w:pPr>
        <w:rPr>
          <w:lang w:val="tr-TR"/>
        </w:rPr>
      </w:pPr>
      <w:r w:rsidRPr="007B64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Object and Scope </w:t>
      </w:r>
    </w:p>
    <w:p w:rsidR="00F72D7E" w:rsidRPr="0083216D" w:rsidRDefault="00853EBC" w:rsidP="0083216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442276111"/>
      <w:r w:rsidRPr="0083216D">
        <w:rPr>
          <w:rFonts w:ascii="Times New Roman" w:hAnsi="Times New Roman" w:cs="Times New Roman"/>
          <w:sz w:val="24"/>
          <w:szCs w:val="24"/>
        </w:rPr>
        <w:t>The purpose of this test is to determine the particle size distribution of fine and coarse aggregates by Sieve analysis and to interpret the aggregate sample according to the results.</w:t>
      </w:r>
      <w:r w:rsidR="00344311" w:rsidRPr="0083216D">
        <w:rPr>
          <w:rFonts w:ascii="Times New Roman" w:hAnsi="Times New Roman" w:cs="Times New Roman"/>
          <w:sz w:val="24"/>
          <w:szCs w:val="24"/>
        </w:rPr>
        <w:tab/>
      </w:r>
    </w:p>
    <w:p w:rsidR="00F72D7E" w:rsidRDefault="007B644A" w:rsidP="00F72D7E">
      <w:pPr>
        <w:rPr>
          <w:rFonts w:ascii="Times New Roman" w:hAnsi="Times New Roman" w:cs="Times New Roman"/>
          <w:b/>
          <w:sz w:val="24"/>
          <w:szCs w:val="24"/>
        </w:rPr>
      </w:pPr>
      <w:r w:rsidRPr="007B644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915D9" w:rsidRPr="007B644A">
        <w:rPr>
          <w:rFonts w:ascii="Times New Roman" w:hAnsi="Times New Roman" w:cs="Times New Roman"/>
          <w:b/>
          <w:sz w:val="24"/>
          <w:szCs w:val="24"/>
        </w:rPr>
        <w:t>Preliminary Remarks</w:t>
      </w:r>
      <w:bookmarkEnd w:id="0"/>
    </w:p>
    <w:p w:rsidR="00B915D9" w:rsidRPr="0083216D" w:rsidRDefault="00853EBC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 w:rsidRPr="0083216D">
        <w:rPr>
          <w:rFonts w:ascii="Times New Roman" w:hAnsi="Times New Roman" w:cs="Times New Roman"/>
          <w:sz w:val="24"/>
          <w:szCs w:val="24"/>
        </w:rPr>
        <w:t>Aggregates those are using for concrete are granular materials</w:t>
      </w:r>
      <w:r w:rsidR="00B915D9" w:rsidRPr="0083216D">
        <w:rPr>
          <w:rFonts w:ascii="Times New Roman" w:hAnsi="Times New Roman" w:cs="Times New Roman"/>
          <w:sz w:val="24"/>
          <w:szCs w:val="24"/>
        </w:rPr>
        <w:t xml:space="preserve">. </w:t>
      </w:r>
      <w:r w:rsidR="00CF601B" w:rsidRPr="0083216D">
        <w:rPr>
          <w:rFonts w:ascii="Times New Roman" w:hAnsi="Times New Roman" w:cs="Times New Roman"/>
          <w:sz w:val="24"/>
          <w:szCs w:val="24"/>
        </w:rPr>
        <w:t>Crushed stone, sand, gravel, burned clay are the most well-known aggregates in concrete production. Aggregates form approximately ¾ of the entire volume of concrete alone. Behavior of concrete mostly affected by properties of own aggregates' properties. A well graded aggregate sample means a uniform distribution of grains in concrete</w:t>
      </w:r>
      <w:r w:rsidR="00706FD6" w:rsidRPr="0083216D">
        <w:rPr>
          <w:rFonts w:ascii="Times New Roman" w:hAnsi="Times New Roman" w:cs="Times New Roman"/>
          <w:sz w:val="24"/>
          <w:szCs w:val="24"/>
        </w:rPr>
        <w:t xml:space="preserve"> can say that a well graded aggregate sample and </w:t>
      </w:r>
      <w:r w:rsidR="00CF601B" w:rsidRPr="0083216D">
        <w:rPr>
          <w:rFonts w:ascii="Times New Roman" w:hAnsi="Times New Roman" w:cs="Times New Roman"/>
          <w:sz w:val="24"/>
          <w:szCs w:val="24"/>
        </w:rPr>
        <w:t>this situation provides low permeability</w:t>
      </w:r>
      <w:r w:rsidR="00706FD6" w:rsidRPr="0083216D">
        <w:rPr>
          <w:rFonts w:ascii="Times New Roman" w:hAnsi="Times New Roman" w:cs="Times New Roman"/>
          <w:sz w:val="24"/>
          <w:szCs w:val="24"/>
        </w:rPr>
        <w:t>. On the other hand,</w:t>
      </w:r>
      <w:r w:rsidR="00CF601B" w:rsidRPr="0083216D">
        <w:rPr>
          <w:rFonts w:ascii="Times New Roman" w:hAnsi="Times New Roman" w:cs="Times New Roman"/>
          <w:sz w:val="24"/>
          <w:szCs w:val="24"/>
        </w:rPr>
        <w:t xml:space="preserve"> there is not a well graded aggregate sample</w:t>
      </w:r>
      <w:r w:rsidR="00706FD6" w:rsidRPr="0083216D">
        <w:rPr>
          <w:rFonts w:ascii="Times New Roman" w:hAnsi="Times New Roman" w:cs="Times New Roman"/>
          <w:sz w:val="24"/>
          <w:szCs w:val="24"/>
        </w:rPr>
        <w:t xml:space="preserve"> means that </w:t>
      </w:r>
      <w:r w:rsidR="00CF601B" w:rsidRPr="0083216D">
        <w:rPr>
          <w:rFonts w:ascii="Times New Roman" w:hAnsi="Times New Roman" w:cs="Times New Roman"/>
          <w:sz w:val="24"/>
          <w:szCs w:val="24"/>
        </w:rPr>
        <w:t>there is a non-uniform dis</w:t>
      </w:r>
      <w:r w:rsidR="00706FD6" w:rsidRPr="0083216D">
        <w:rPr>
          <w:rFonts w:ascii="Times New Roman" w:hAnsi="Times New Roman" w:cs="Times New Roman"/>
          <w:sz w:val="24"/>
          <w:szCs w:val="24"/>
        </w:rPr>
        <w:t>tribution in concrete and it might</w:t>
      </w:r>
      <w:r w:rsidR="00CF601B" w:rsidRPr="0083216D">
        <w:rPr>
          <w:rFonts w:ascii="Times New Roman" w:hAnsi="Times New Roman" w:cs="Times New Roman"/>
          <w:sz w:val="24"/>
          <w:szCs w:val="24"/>
        </w:rPr>
        <w:t xml:space="preserve"> lead to some problems such as segregation.</w:t>
      </w:r>
    </w:p>
    <w:p w:rsidR="00706FD6" w:rsidRPr="0083216D" w:rsidRDefault="00706FD6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 w:rsidRPr="0083216D">
        <w:rPr>
          <w:rFonts w:ascii="Times New Roman" w:hAnsi="Times New Roman" w:cs="Times New Roman"/>
          <w:sz w:val="24"/>
          <w:szCs w:val="24"/>
        </w:rPr>
        <w:t>According to sieve analysis, how much coarse or fine the aggregate is determined then results are named as fineness modulus.</w:t>
      </w:r>
    </w:p>
    <w:p w:rsidR="00706FD6" w:rsidRPr="0083216D" w:rsidRDefault="00706FD6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 w:rsidRPr="0083216D">
        <w:rPr>
          <w:rFonts w:ascii="Times New Roman" w:hAnsi="Times New Roman" w:cs="Times New Roman"/>
          <w:sz w:val="24"/>
          <w:szCs w:val="24"/>
        </w:rPr>
        <w:t xml:space="preserve">Grain Size Distribution is mostly used for classification of aggregate sample, it is particle size versus of sample finer than that size. </w:t>
      </w:r>
    </w:p>
    <w:p w:rsidR="00F72D7E" w:rsidRPr="00F72D7E" w:rsidRDefault="00F72D7E" w:rsidP="00F72D7E">
      <w:pPr>
        <w:rPr>
          <w:rFonts w:ascii="Times New Roman" w:hAnsi="Times New Roman" w:cs="Times New Roman"/>
          <w:b/>
          <w:sz w:val="24"/>
          <w:szCs w:val="24"/>
        </w:rPr>
      </w:pPr>
    </w:p>
    <w:p w:rsidR="00F72D7E" w:rsidRDefault="007B644A" w:rsidP="00F72D7E">
      <w:pPr>
        <w:pStyle w:val="ListeParagraf"/>
        <w:ind w:left="1080" w:hanging="1080"/>
      </w:pPr>
      <w:bookmarkStart w:id="1" w:name="_Toc442276113"/>
      <w:r w:rsidRPr="007B644A">
        <w:t>3. Test Specimen</w:t>
      </w:r>
    </w:p>
    <w:p w:rsidR="00D84390" w:rsidRDefault="00782AB9" w:rsidP="00D84390">
      <w:pPr>
        <w:pStyle w:val="ListeParagraf"/>
        <w:numPr>
          <w:ilvl w:val="0"/>
          <w:numId w:val="5"/>
        </w:numPr>
        <w:jc w:val="both"/>
      </w:pPr>
      <w:r w:rsidRPr="0083216D">
        <w:rPr>
          <w:b w:val="0"/>
        </w:rPr>
        <w:t>Total 116 g of aggregate</w:t>
      </w:r>
      <w:r w:rsidRPr="0083216D">
        <w:t>.</w:t>
      </w:r>
    </w:p>
    <w:p w:rsidR="00D84390" w:rsidRPr="00D84390" w:rsidRDefault="00D84390" w:rsidP="00D84390">
      <w:pPr>
        <w:pStyle w:val="ListeParagraf"/>
        <w:ind w:left="0"/>
        <w:jc w:val="center"/>
      </w:pPr>
      <w:r w:rsidRPr="00D84390">
        <w:rPr>
          <w:b w:val="0"/>
        </w:rPr>
        <w:t>Table 1 : The Mass Retained for Each Sieve</w:t>
      </w:r>
    </w:p>
    <w:tbl>
      <w:tblPr>
        <w:tblStyle w:val="TabloKlavuzu"/>
        <w:tblW w:w="4440" w:type="dxa"/>
        <w:jc w:val="center"/>
        <w:tblLook w:val="04A0"/>
      </w:tblPr>
      <w:tblGrid>
        <w:gridCol w:w="750"/>
        <w:gridCol w:w="2040"/>
        <w:gridCol w:w="1780"/>
      </w:tblGrid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Sieve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Sieve Opening (mm)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Mass Retained (g)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#4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4,75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#8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2,36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#16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1,18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19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#25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0,71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29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#30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0,6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#50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0,3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28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lastRenderedPageBreak/>
              <w:t>#100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0,15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#200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0,075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</w:t>
            </w:r>
          </w:p>
        </w:tc>
      </w:tr>
      <w:tr w:rsidR="00782AB9" w:rsidRPr="0083216D" w:rsidTr="00D84390">
        <w:trPr>
          <w:trHeight w:val="300"/>
          <w:jc w:val="center"/>
        </w:trPr>
        <w:tc>
          <w:tcPr>
            <w:tcW w:w="62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Pan</w:t>
            </w:r>
          </w:p>
        </w:tc>
        <w:tc>
          <w:tcPr>
            <w:tcW w:w="204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</w:t>
            </w:r>
          </w:p>
        </w:tc>
        <w:tc>
          <w:tcPr>
            <w:tcW w:w="1780" w:type="dxa"/>
            <w:noWrap/>
            <w:hideMark/>
          </w:tcPr>
          <w:p w:rsidR="00782AB9" w:rsidRPr="0083216D" w:rsidRDefault="00782AB9" w:rsidP="00D843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</w:tr>
    </w:tbl>
    <w:p w:rsidR="00782AB9" w:rsidRPr="00782AB9" w:rsidRDefault="00782AB9" w:rsidP="008321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D46" w:rsidRPr="007B644A" w:rsidRDefault="007B644A" w:rsidP="007B644A">
      <w:pPr>
        <w:rPr>
          <w:rFonts w:ascii="Times New Roman" w:hAnsi="Times New Roman" w:cs="Times New Roman"/>
          <w:b/>
          <w:sz w:val="24"/>
          <w:szCs w:val="24"/>
        </w:rPr>
      </w:pPr>
      <w:r w:rsidRPr="007B644A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6B2D46" w:rsidRPr="007B644A">
        <w:rPr>
          <w:rFonts w:ascii="Times New Roman" w:hAnsi="Times New Roman" w:cs="Times New Roman"/>
          <w:b/>
          <w:sz w:val="24"/>
          <w:szCs w:val="24"/>
        </w:rPr>
        <w:t>Apparatus</w:t>
      </w:r>
      <w:bookmarkEnd w:id="1"/>
    </w:p>
    <w:p w:rsidR="00F72D7E" w:rsidRDefault="00782AB9" w:rsidP="0083216D">
      <w:pPr>
        <w:pStyle w:val="ResimYazs"/>
        <w:numPr>
          <w:ilvl w:val="0"/>
          <w:numId w:val="3"/>
        </w:numPr>
        <w:spacing w:line="360" w:lineRule="auto"/>
        <w:jc w:val="both"/>
        <w:rPr>
          <w:b w:val="0"/>
          <w:i w:val="0"/>
          <w:color w:val="auto"/>
          <w:sz w:val="24"/>
          <w:szCs w:val="24"/>
        </w:rPr>
      </w:pPr>
      <w:r>
        <w:rPr>
          <w:b w:val="0"/>
          <w:i w:val="0"/>
          <w:color w:val="auto"/>
          <w:sz w:val="24"/>
          <w:szCs w:val="24"/>
        </w:rPr>
        <w:t>Balances</w:t>
      </w:r>
    </w:p>
    <w:p w:rsidR="00F72D7E" w:rsidRDefault="00782AB9" w:rsidP="0083216D">
      <w:pPr>
        <w:pStyle w:val="ResimYazs"/>
        <w:numPr>
          <w:ilvl w:val="0"/>
          <w:numId w:val="3"/>
        </w:numPr>
        <w:spacing w:line="360" w:lineRule="auto"/>
        <w:jc w:val="both"/>
        <w:rPr>
          <w:b w:val="0"/>
          <w:i w:val="0"/>
          <w:color w:val="auto"/>
          <w:sz w:val="24"/>
          <w:szCs w:val="24"/>
        </w:rPr>
      </w:pPr>
      <w:r>
        <w:rPr>
          <w:b w:val="0"/>
          <w:i w:val="0"/>
          <w:color w:val="auto"/>
          <w:sz w:val="24"/>
          <w:szCs w:val="24"/>
        </w:rPr>
        <w:t>Sieves</w:t>
      </w:r>
    </w:p>
    <w:p w:rsidR="00F72D7E" w:rsidRDefault="00782AB9" w:rsidP="0083216D">
      <w:pPr>
        <w:pStyle w:val="ResimYazs"/>
        <w:numPr>
          <w:ilvl w:val="0"/>
          <w:numId w:val="3"/>
        </w:numPr>
        <w:spacing w:line="360" w:lineRule="auto"/>
        <w:jc w:val="both"/>
        <w:rPr>
          <w:b w:val="0"/>
          <w:i w:val="0"/>
          <w:color w:val="auto"/>
          <w:sz w:val="24"/>
          <w:szCs w:val="24"/>
        </w:rPr>
      </w:pPr>
      <w:r>
        <w:rPr>
          <w:b w:val="0"/>
          <w:i w:val="0"/>
          <w:color w:val="auto"/>
          <w:sz w:val="24"/>
          <w:szCs w:val="24"/>
        </w:rPr>
        <w:t>Mechanical sieve shaker</w:t>
      </w:r>
    </w:p>
    <w:p w:rsidR="007B644A" w:rsidRPr="00782AB9" w:rsidRDefault="00782AB9" w:rsidP="0083216D">
      <w:pPr>
        <w:pStyle w:val="ResimYazs"/>
        <w:numPr>
          <w:ilvl w:val="0"/>
          <w:numId w:val="3"/>
        </w:numPr>
        <w:spacing w:line="360" w:lineRule="auto"/>
        <w:jc w:val="both"/>
        <w:rPr>
          <w:b w:val="0"/>
          <w:i w:val="0"/>
          <w:color w:val="auto"/>
          <w:sz w:val="24"/>
          <w:szCs w:val="24"/>
        </w:rPr>
      </w:pPr>
      <w:r w:rsidRPr="00782AB9">
        <w:rPr>
          <w:b w:val="0"/>
          <w:i w:val="0"/>
          <w:color w:val="auto"/>
          <w:sz w:val="24"/>
          <w:szCs w:val="24"/>
        </w:rPr>
        <w:t>Oven</w:t>
      </w:r>
      <w:bookmarkStart w:id="2" w:name="_Toc442276114"/>
      <w:r w:rsidRPr="00782AB9">
        <w:rPr>
          <w:b w:val="0"/>
          <w:i w:val="0"/>
          <w:color w:val="auto"/>
          <w:sz w:val="24"/>
          <w:szCs w:val="24"/>
        </w:rPr>
        <w:t xml:space="preserve">  ( Capable of creating temp. </w:t>
      </w:r>
      <w:r w:rsidRPr="00782AB9">
        <w:rPr>
          <w:b w:val="0"/>
          <w:color w:val="auto"/>
          <w:sz w:val="24"/>
          <w:szCs w:val="24"/>
        </w:rPr>
        <w:t>110</w:t>
      </w:r>
      <w:r w:rsidR="0083216D">
        <w:rPr>
          <w:b w:val="0"/>
          <w:color w:val="auto"/>
          <w:sz w:val="24"/>
          <w:szCs w:val="24"/>
        </w:rPr>
        <w:t xml:space="preserve"> </w:t>
      </w:r>
      <w:r w:rsidRPr="00782AB9">
        <w:rPr>
          <w:b w:val="0"/>
          <w:color w:val="auto"/>
          <w:sz w:val="24"/>
          <w:szCs w:val="24"/>
        </w:rPr>
        <w:t>± 5 °C)</w:t>
      </w:r>
    </w:p>
    <w:p w:rsidR="00F72D7E" w:rsidRPr="00F72D7E" w:rsidRDefault="00F72D7E" w:rsidP="00F72D7E"/>
    <w:p w:rsidR="006B2D46" w:rsidRPr="007B644A" w:rsidRDefault="007B644A" w:rsidP="007B644A">
      <w:pPr>
        <w:pStyle w:val="ResimYazs"/>
        <w:spacing w:line="360" w:lineRule="auto"/>
        <w:rPr>
          <w:i w:val="0"/>
          <w:color w:val="auto"/>
          <w:sz w:val="24"/>
          <w:szCs w:val="24"/>
        </w:rPr>
      </w:pPr>
      <w:r w:rsidRPr="007B644A">
        <w:rPr>
          <w:i w:val="0"/>
          <w:color w:val="auto"/>
          <w:sz w:val="24"/>
          <w:szCs w:val="24"/>
        </w:rPr>
        <w:t xml:space="preserve">5. </w:t>
      </w:r>
      <w:r w:rsidR="006B2D46" w:rsidRPr="007B644A">
        <w:rPr>
          <w:i w:val="0"/>
          <w:color w:val="auto"/>
          <w:sz w:val="24"/>
          <w:szCs w:val="24"/>
        </w:rPr>
        <w:t>Test Procedure</w:t>
      </w:r>
      <w:bookmarkEnd w:id="2"/>
    </w:p>
    <w:p w:rsidR="006B2D46" w:rsidRPr="007B644A" w:rsidRDefault="00782AB9" w:rsidP="0083216D">
      <w:pPr>
        <w:pStyle w:val="ListeParagraf"/>
        <w:numPr>
          <w:ilvl w:val="0"/>
          <w:numId w:val="2"/>
        </w:numPr>
        <w:jc w:val="both"/>
        <w:rPr>
          <w:b w:val="0"/>
        </w:rPr>
      </w:pPr>
      <w:r w:rsidRPr="006937A1">
        <w:rPr>
          <w:b w:val="0"/>
        </w:rPr>
        <w:t>Dry the sample to constant mass at a temperature of 110 ± 5 °C</w:t>
      </w:r>
    </w:p>
    <w:p w:rsidR="006B2D46" w:rsidRDefault="00782AB9" w:rsidP="0083216D">
      <w:pPr>
        <w:pStyle w:val="ListeParagraf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>Weigh the sample in accordance with standard requirements</w:t>
      </w:r>
    </w:p>
    <w:p w:rsidR="00782AB9" w:rsidRPr="007B644A" w:rsidRDefault="00782AB9" w:rsidP="0083216D">
      <w:pPr>
        <w:pStyle w:val="ListeParagraf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>Sort</w:t>
      </w:r>
      <w:r w:rsidRPr="00744B08">
        <w:rPr>
          <w:b w:val="0"/>
        </w:rPr>
        <w:t xml:space="preserve"> the sieves in order of decreasing size of opening from top</w:t>
      </w:r>
      <w:r>
        <w:rPr>
          <w:b w:val="0"/>
        </w:rPr>
        <w:t xml:space="preserve"> to bottom. The sizes of the sieves are given in the test specimen part</w:t>
      </w:r>
    </w:p>
    <w:p w:rsidR="006B2D46" w:rsidRPr="007B644A" w:rsidRDefault="00782AB9" w:rsidP="0083216D">
      <w:pPr>
        <w:pStyle w:val="ListeParagraf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>Sieve the sample</w:t>
      </w:r>
    </w:p>
    <w:p w:rsidR="006B2D46" w:rsidRPr="007B644A" w:rsidRDefault="00782AB9" w:rsidP="0083216D">
      <w:pPr>
        <w:pStyle w:val="ListeParagraf"/>
        <w:numPr>
          <w:ilvl w:val="0"/>
          <w:numId w:val="2"/>
        </w:numPr>
        <w:jc w:val="both"/>
        <w:rPr>
          <w:b w:val="0"/>
        </w:rPr>
      </w:pPr>
      <w:r w:rsidRPr="00DC1D3C">
        <w:rPr>
          <w:b w:val="0"/>
        </w:rPr>
        <w:t>After compilation, remove each sieves carefully and determine the mass of each on a balance. This readings are available in test specimen part</w:t>
      </w:r>
      <w:r>
        <w:rPr>
          <w:b w:val="0"/>
        </w:rPr>
        <w:t xml:space="preserve"> </w:t>
      </w:r>
    </w:p>
    <w:p w:rsidR="007B644A" w:rsidRPr="007B644A" w:rsidRDefault="007B644A" w:rsidP="007B644A">
      <w:pPr>
        <w:pStyle w:val="ListeParagraf"/>
        <w:ind w:left="1080"/>
        <w:rPr>
          <w:b w:val="0"/>
        </w:rPr>
      </w:pPr>
      <w:bookmarkStart w:id="3" w:name="_Toc442276115"/>
    </w:p>
    <w:p w:rsidR="00782AB9" w:rsidRPr="00B67ED2" w:rsidRDefault="00F72D7E" w:rsidP="00B67ED2">
      <w:pPr>
        <w:pStyle w:val="ListeParagraf"/>
        <w:ind w:left="1080" w:hanging="1080"/>
      </w:pPr>
      <w:r>
        <w:t>6</w:t>
      </w:r>
      <w:r w:rsidR="007B644A" w:rsidRPr="007B644A">
        <w:t xml:space="preserve">. </w:t>
      </w:r>
      <w:r w:rsidR="00766764" w:rsidRPr="007B644A">
        <w:t>Calculation</w:t>
      </w:r>
      <w:bookmarkEnd w:id="3"/>
    </w:p>
    <w:p w:rsidR="00782AB9" w:rsidRPr="0083216D" w:rsidRDefault="00782AB9" w:rsidP="0083216D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Total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Mass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Mass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Retained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nary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=0+4+19+29+25+28+6+3+2=116</m:t>
        </m:r>
      </m:oMath>
      <w:r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</w:p>
    <w:p w:rsidR="00782AB9" w:rsidRPr="0083216D" w:rsidRDefault="00782AB9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 w:rsidRPr="0083216D">
        <w:rPr>
          <w:rFonts w:ascii="Times New Roman" w:hAnsi="Times New Roman" w:cs="Times New Roman"/>
          <w:sz w:val="24"/>
          <w:szCs w:val="24"/>
        </w:rPr>
        <w:t>Cumulative percent retained is total percent of mass retained values above sieve.</w:t>
      </w:r>
    </w:p>
    <w:p w:rsidR="00CC3D03" w:rsidRPr="0083216D" w:rsidRDefault="00CC3D03" w:rsidP="0083216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Mass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Retained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For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eac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sieve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opening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Mass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Retained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Total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amount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of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aggregate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specimen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</m:t>
          </m:r>
        </m:oMath>
      </m:oMathPara>
    </w:p>
    <w:p w:rsidR="00CC3D03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eac</m:t>
          </m:r>
          <m:r>
            <w:rPr>
              <w:rFonts w:ascii="Times New Roman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opening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lastRenderedPageBreak/>
        <w:t xml:space="preserve">For #4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100=0 %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0%=100%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#4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#8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100=3.45 %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3.45%=96.55%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#8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#16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100=19.83 %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19,83%=80.17%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#16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#25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52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100=44.83 %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44.83%=55.17%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#25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#30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77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100=66.38 %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66.38%=33.62%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#30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#50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105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100=90.52 %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90.52%=9.48%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#50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#100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111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100=95.69 %</m:t>
          </m:r>
        </m:oMath>
      </m:oMathPara>
    </w:p>
    <w:p w:rsidR="00CC3D03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95.69%=4.31%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#100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83216D" w:rsidRPr="0083216D" w:rsidRDefault="0083216D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lastRenderedPageBreak/>
        <w:t xml:space="preserve">For #200 Sieve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114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100=98.28 %</m:t>
          </m:r>
        </m:oMath>
      </m:oMathPara>
    </w:p>
    <w:p w:rsidR="00CC3D03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98.28%=1.72%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#200 </m:t>
          </m:r>
          <m:r>
            <w:rPr>
              <w:rFonts w:ascii="Cambria Math" w:hAnsi="Cambria Math" w:cs="Times New Roman"/>
              <w:sz w:val="24"/>
              <w:szCs w:val="24"/>
            </w:rPr>
            <m:t>Sieve</m:t>
          </m:r>
        </m:oMath>
      </m:oMathPara>
    </w:p>
    <w:p w:rsidR="00CC3D03" w:rsidRPr="0083216D" w:rsidRDefault="00CC3D03" w:rsidP="0083216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 xml:space="preserve">For Pan : </w:t>
      </w:r>
      <w:r>
        <w:rPr>
          <w:rFonts w:ascii="Cambria Math" w:hAnsi="Times New Roman" w:cs="Times New Roman"/>
          <w:sz w:val="24"/>
          <w:szCs w:val="24"/>
          <w:u w:val="single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Cumulative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Retained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116</m:t>
              </m:r>
            </m:den>
          </m:f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Times New Roman" w:cs="Times New Roman"/>
              <w:sz w:val="24"/>
              <w:szCs w:val="24"/>
            </w:rPr>
            <m:t>100=100 %</m:t>
          </m:r>
        </m:oMath>
      </m:oMathPara>
    </w:p>
    <w:p w:rsidR="00B67ED2" w:rsidRPr="0083216D" w:rsidRDefault="00CC3D0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Passing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=100 %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100%=0% </m:t>
          </m:r>
          <m:r>
            <w:rPr>
              <w:rFonts w:ascii="Cambria Math" w:hAnsi="Cambria Math" w:cs="Times New Roman"/>
              <w:sz w:val="24"/>
              <w:szCs w:val="24"/>
            </w:rPr>
            <m:t>for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Pan</m:t>
          </m:r>
        </m:oMath>
      </m:oMathPara>
    </w:p>
    <w:p w:rsidR="00782AB9" w:rsidRPr="0083216D" w:rsidRDefault="00782AB9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sz w:val="24"/>
          <w:szCs w:val="24"/>
        </w:rPr>
        <w:t>ASTM C136-14</w:t>
      </w:r>
      <w:r w:rsidR="00B67ED2"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stated that</w:t>
      </w:r>
      <w:r w:rsidRPr="0083216D">
        <w:rPr>
          <w:rFonts w:ascii="Times New Roman" w:eastAsiaTheme="minorEastAsia" w:hAnsi="Times New Roman" w:cs="Times New Roman"/>
          <w:sz w:val="24"/>
          <w:szCs w:val="24"/>
        </w:rPr>
        <w:t>, the fineness modulus is calculated by adding the cumulative percentage by mass retained on some specified sieves which are #4, #8, #16, #30, #50 and #100 sieves.</w:t>
      </w:r>
    </w:p>
    <w:p w:rsidR="0083216D" w:rsidRPr="0083216D" w:rsidRDefault="00782AB9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sz w:val="24"/>
              <w:szCs w:val="24"/>
            </w:rPr>
            <m:t>Fineness</m:t>
          </m:r>
          <m: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ajorEastAsia" w:hAnsi="Cambria Math" w:cs="Times New Roman"/>
              <w:sz w:val="24"/>
              <w:szCs w:val="24"/>
            </w:rPr>
            <m:t>Modulus</m:t>
          </m:r>
          <m:r>
            <w:rPr>
              <w:rFonts w:ascii="Cambria Math" w:eastAsiaTheme="maj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ajorEastAsia" w:hAnsi="Times New Roman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Cumulative</m:t>
                  </m:r>
                  <m: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percent</m:t>
                  </m:r>
                  <m: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retained</m:t>
                  </m:r>
                  <m: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on</m:t>
                  </m:r>
                  <m: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eac</m:t>
                  </m:r>
                  <m:r>
                    <w:rPr>
                      <w:rFonts w:ascii="Times New Roman" w:eastAsiaTheme="majorEastAsia" w:hAnsi="Times New Roman" w:cs="Times New Roman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sieve</m:t>
                  </m:r>
                </m:e>
              </m:nary>
            </m:num>
            <m:den>
              <m: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100</m:t>
              </m:r>
            </m:den>
          </m:f>
        </m:oMath>
      </m:oMathPara>
    </w:p>
    <w:p w:rsidR="00782AB9" w:rsidRPr="0083216D" w:rsidRDefault="00782AB9" w:rsidP="0083216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m:oMathPara>
        <m:oMath>
          <m:r>
            <w:rPr>
              <w:rFonts w:ascii="Cambria Math" w:eastAsiaTheme="maj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3.45+19.83+66.38+90.52+95.69</m:t>
              </m:r>
            </m:num>
            <m:den>
              <m: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ajorEastAsia" w:hAnsi="Times New Roman" w:cs="Times New Roman"/>
              <w:sz w:val="24"/>
              <w:szCs w:val="24"/>
            </w:rPr>
            <m:t>=2.76</m:t>
          </m:r>
        </m:oMath>
      </m:oMathPara>
    </w:p>
    <w:p w:rsidR="00F72D7E" w:rsidRPr="007B644A" w:rsidRDefault="00F72D7E" w:rsidP="007B644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23BAD" w:rsidRDefault="00F72D7E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="007B644A" w:rsidRPr="007B644A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4E3CD8" w:rsidRPr="007B644A">
        <w:rPr>
          <w:rFonts w:ascii="Times New Roman" w:eastAsiaTheme="minorEastAsia" w:hAnsi="Times New Roman" w:cs="Times New Roman"/>
          <w:b/>
          <w:sz w:val="24"/>
          <w:szCs w:val="24"/>
        </w:rPr>
        <w:t>Results</w:t>
      </w:r>
    </w:p>
    <w:p w:rsidR="00AB0F2C" w:rsidRPr="00D84390" w:rsidRDefault="00D84390" w:rsidP="00D84390">
      <w:pPr>
        <w:pStyle w:val="ListeParagraf"/>
        <w:jc w:val="center"/>
        <w:rPr>
          <w:b w:val="0"/>
        </w:rPr>
      </w:pPr>
      <w:r w:rsidRPr="00D84390">
        <w:rPr>
          <w:b w:val="0"/>
        </w:rPr>
        <w:t xml:space="preserve">Table </w:t>
      </w:r>
      <w:r>
        <w:rPr>
          <w:b w:val="0"/>
        </w:rPr>
        <w:t>2</w:t>
      </w:r>
      <w:r w:rsidR="00AB0F2C">
        <w:rPr>
          <w:b w:val="0"/>
        </w:rPr>
        <w:t xml:space="preserve"> : The Cumulative Percent Retained and Percent Passing Percentages</w:t>
      </w:r>
    </w:p>
    <w:tbl>
      <w:tblPr>
        <w:tblW w:w="9126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762"/>
        <w:gridCol w:w="1843"/>
        <w:gridCol w:w="1418"/>
        <w:gridCol w:w="3260"/>
        <w:gridCol w:w="1843"/>
      </w:tblGrid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Sieve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Sieve Opening (mm)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Mass Retained (g)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Cumulative Percent Retained(%)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Percent Passing (%)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4,75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100,00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2,36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3,45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96,55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1,18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19,83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80,17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44,83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55,17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66,38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33,62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#50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90,52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9,48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#100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95,69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4,31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#200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0,075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98,28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1,72</w:t>
            </w:r>
          </w:p>
        </w:tc>
      </w:tr>
      <w:tr w:rsidR="0083216D" w:rsidRPr="0083216D" w:rsidTr="0083216D">
        <w:trPr>
          <w:trHeight w:val="300"/>
          <w:jc w:val="center"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B67ED2" w:rsidRPr="0083216D" w:rsidRDefault="00B67ED2" w:rsidP="0083216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0,00</w:t>
            </w:r>
          </w:p>
        </w:tc>
      </w:tr>
    </w:tbl>
    <w:p w:rsidR="00EE4BEB" w:rsidRPr="0083216D" w:rsidRDefault="00B67ED2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sz w:val="24"/>
          <w:szCs w:val="24"/>
        </w:rPr>
        <w:t xml:space="preserve">Fineness Modulus </w:t>
      </w:r>
      <w:r w:rsidR="00EE4BEB" w:rsidRPr="0083216D">
        <w:rPr>
          <w:rFonts w:ascii="Times New Roman" w:eastAsiaTheme="minorEastAsia" w:hAnsi="Times New Roman" w:cs="Times New Roman"/>
          <w:sz w:val="24"/>
          <w:szCs w:val="24"/>
        </w:rPr>
        <w:t xml:space="preserve">= 2,76 ( Between 2.15 and 3.38, so </w:t>
      </w:r>
      <w:r w:rsidR="00FB6B83" w:rsidRPr="0083216D">
        <w:rPr>
          <w:rFonts w:ascii="Times New Roman" w:eastAsiaTheme="minorEastAsia" w:hAnsi="Times New Roman" w:cs="Times New Roman"/>
          <w:sz w:val="24"/>
          <w:szCs w:val="24"/>
        </w:rPr>
        <w:t>aggregate is fine)</w:t>
      </w:r>
    </w:p>
    <w:p w:rsidR="00EE4BEB" w:rsidRPr="0083216D" w:rsidRDefault="00EE4BEB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6259830" cy="4244340"/>
            <wp:effectExtent l="19050" t="0" r="26670" b="3810"/>
            <wp:docPr id="2" name="Grafik 2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4390" w:rsidRPr="00AB0F2C" w:rsidRDefault="00AB0F2C" w:rsidP="00AB0F2C">
      <w:pPr>
        <w:pStyle w:val="ListeParagraf"/>
        <w:jc w:val="center"/>
        <w:rPr>
          <w:b w:val="0"/>
        </w:rPr>
      </w:pPr>
      <w:r w:rsidRPr="00AB0F2C">
        <w:rPr>
          <w:b w:val="0"/>
        </w:rPr>
        <w:t>Figure</w:t>
      </w:r>
      <w:r w:rsidR="00D84390" w:rsidRPr="00AB0F2C">
        <w:rPr>
          <w:b w:val="0"/>
        </w:rPr>
        <w:t xml:space="preserve"> 1 : </w:t>
      </w:r>
      <w:r w:rsidRPr="00AB0F2C">
        <w:rPr>
          <w:b w:val="0"/>
        </w:rPr>
        <w:t>Gradation of Aggregate A</w:t>
      </w:r>
    </w:p>
    <w:p w:rsidR="0083216D" w:rsidRDefault="0083216D" w:rsidP="0083216D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66DCF" w:rsidRPr="0083216D" w:rsidRDefault="00140066" w:rsidP="0083216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b/>
          <w:sz w:val="24"/>
          <w:szCs w:val="24"/>
        </w:rPr>
        <w:t>8</w:t>
      </w:r>
      <w:r w:rsidR="007B644A" w:rsidRPr="0083216D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D66DCF" w:rsidRPr="0083216D">
        <w:rPr>
          <w:rFonts w:ascii="Times New Roman" w:eastAsiaTheme="minorEastAsia" w:hAnsi="Times New Roman" w:cs="Times New Roman"/>
          <w:b/>
          <w:sz w:val="24"/>
          <w:szCs w:val="24"/>
        </w:rPr>
        <w:t>Discussion of Results</w:t>
      </w:r>
    </w:p>
    <w:p w:rsidR="00792049" w:rsidRDefault="00FB6B83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0F2C">
        <w:rPr>
          <w:rFonts w:ascii="Times New Roman" w:eastAsiaTheme="minorEastAsia" w:hAnsi="Times New Roman" w:cs="Times New Roman"/>
          <w:b/>
          <w:sz w:val="24"/>
          <w:szCs w:val="24"/>
        </w:rPr>
        <w:t>a-</w:t>
      </w:r>
      <w:r w:rsidR="00AB0F2C" w:rsidRPr="00AB0F2C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0DDF" w:rsidRPr="0083216D">
        <w:rPr>
          <w:rFonts w:ascii="Times New Roman" w:eastAsiaTheme="minorEastAsia" w:hAnsi="Times New Roman" w:cs="Times New Roman"/>
          <w:sz w:val="24"/>
          <w:szCs w:val="24"/>
        </w:rPr>
        <w:t>4,75 mm sieve opening is the limit for fine aggregates, as shown in the table below, both Aggregate X and Aggregate Y couldn't pass bigger sieves. Therefore, it can be said that both Aggregate X and Aggregate Y are coarse aggregates.</w:t>
      </w:r>
    </w:p>
    <w:p w:rsidR="00D84390" w:rsidRPr="00AB0F2C" w:rsidRDefault="00D84390" w:rsidP="00AB0F2C">
      <w:pPr>
        <w:pStyle w:val="ListeParagraf"/>
        <w:jc w:val="center"/>
        <w:rPr>
          <w:b w:val="0"/>
        </w:rPr>
      </w:pPr>
      <w:r w:rsidRPr="00AB0F2C">
        <w:rPr>
          <w:b w:val="0"/>
        </w:rPr>
        <w:t xml:space="preserve">Table </w:t>
      </w:r>
      <w:r w:rsidR="00AB0F2C">
        <w:rPr>
          <w:b w:val="0"/>
        </w:rPr>
        <w:t>3</w:t>
      </w:r>
      <w:r w:rsidRPr="00AB0F2C">
        <w:rPr>
          <w:b w:val="0"/>
        </w:rPr>
        <w:t xml:space="preserve"> : </w:t>
      </w:r>
      <w:r w:rsidR="00AB0F2C">
        <w:rPr>
          <w:b w:val="0"/>
        </w:rPr>
        <w:t>Aggregate X and Aggregate Y's Percentages</w:t>
      </w:r>
    </w:p>
    <w:tbl>
      <w:tblPr>
        <w:tblW w:w="907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565"/>
        <w:gridCol w:w="1275"/>
        <w:gridCol w:w="1276"/>
        <w:gridCol w:w="1276"/>
        <w:gridCol w:w="1140"/>
        <w:gridCol w:w="1270"/>
        <w:gridCol w:w="1275"/>
      </w:tblGrid>
      <w:tr w:rsidR="00D84390" w:rsidRPr="0083216D" w:rsidTr="00D84390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Mass Retained (%)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Cumulative Percent Retained(%)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Percent Passing(%)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Laboratory Sieve (mm)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Y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lastRenderedPageBreak/>
              <w:t>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37,5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92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31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12,5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4,75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2,36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1,18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83216D" w:rsidRPr="0083216D" w:rsidTr="00D84390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049" w:rsidRPr="0083216D" w:rsidRDefault="00792049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</w:tbl>
    <w:p w:rsidR="00D84390" w:rsidRDefault="00D84390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B6B83" w:rsidRPr="0083216D" w:rsidRDefault="00792049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0F2C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  <w:r w:rsidR="00AB0F2C" w:rsidRPr="00AB0F2C">
        <w:rPr>
          <w:rFonts w:ascii="Times New Roman" w:eastAsiaTheme="minorEastAsia" w:hAnsi="Times New Roman" w:cs="Times New Roman"/>
          <w:b/>
          <w:sz w:val="24"/>
          <w:szCs w:val="24"/>
        </w:rPr>
        <w:t>-)</w:t>
      </w:r>
      <w:r w:rsidR="00AB0F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0DDF" w:rsidRPr="0083216D">
        <w:rPr>
          <w:rFonts w:ascii="Times New Roman" w:eastAsiaTheme="minorEastAsia" w:hAnsi="Times New Roman" w:cs="Times New Roman"/>
          <w:sz w:val="24"/>
          <w:szCs w:val="24"/>
        </w:rPr>
        <w:t>Size number of Agg.X is determined as 3 and Aggregate Y's size number is determined as 5 according to Table 3 in ASTM C33-18.</w:t>
      </w:r>
    </w:p>
    <w:p w:rsidR="00E62E56" w:rsidRPr="00AB0F2C" w:rsidRDefault="00DB0DDF" w:rsidP="0083216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B0F2C">
        <w:rPr>
          <w:rFonts w:ascii="Times New Roman" w:eastAsiaTheme="minorEastAsia" w:hAnsi="Times New Roman" w:cs="Times New Roman"/>
          <w:b/>
          <w:sz w:val="24"/>
          <w:szCs w:val="24"/>
        </w:rPr>
        <w:t>c-)</w:t>
      </w:r>
    </w:p>
    <w:p w:rsidR="00D84390" w:rsidRPr="00AB0F2C" w:rsidRDefault="00AB0F2C" w:rsidP="00AB0F2C">
      <w:pPr>
        <w:pStyle w:val="ListeParagraf"/>
        <w:jc w:val="center"/>
        <w:rPr>
          <w:b w:val="0"/>
        </w:rPr>
      </w:pPr>
      <w:r>
        <w:rPr>
          <w:b w:val="0"/>
        </w:rPr>
        <w:t>Table 4</w:t>
      </w:r>
      <w:r w:rsidR="00D84390" w:rsidRPr="00AB0F2C">
        <w:rPr>
          <w:b w:val="0"/>
        </w:rPr>
        <w:t xml:space="preserve"> : The </w:t>
      </w:r>
      <w:r>
        <w:rPr>
          <w:b w:val="0"/>
        </w:rPr>
        <w:t>Percentage Passing of Aggregate Z</w:t>
      </w:r>
    </w:p>
    <w:tbl>
      <w:tblPr>
        <w:tblW w:w="8936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706"/>
        <w:gridCol w:w="3119"/>
        <w:gridCol w:w="1276"/>
        <w:gridCol w:w="2835"/>
      </w:tblGrid>
      <w:tr w:rsidR="00E62E56" w:rsidRPr="0083216D" w:rsidTr="00D84390">
        <w:trPr>
          <w:trHeight w:val="30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D843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Percent Passing (%)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Laboratory Sieve (mm)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Minimum limits for Size Number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Maximum limits for Size Number 4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94,75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37,5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66,25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100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33,5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55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12,25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15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12,5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9,5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5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4,75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2,36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lastRenderedPageBreak/>
              <w:t>1,18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  <w:tr w:rsidR="00E62E56" w:rsidRPr="0083216D" w:rsidTr="00D84390">
        <w:trPr>
          <w:trHeight w:val="30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0,3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E56" w:rsidRPr="0083216D" w:rsidRDefault="00E62E5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8321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…</w:t>
            </w:r>
          </w:p>
        </w:tc>
      </w:tr>
    </w:tbl>
    <w:p w:rsidR="00AB0F2C" w:rsidRDefault="00AB0F2C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D31C9" w:rsidRPr="0083216D" w:rsidRDefault="00E62E56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216D">
        <w:rPr>
          <w:rFonts w:ascii="Times New Roman" w:eastAsiaTheme="minorEastAsia" w:hAnsi="Times New Roman" w:cs="Times New Roman"/>
          <w:sz w:val="24"/>
          <w:szCs w:val="24"/>
        </w:rPr>
        <w:t>Aggregate Z can not satisfy the grading requirements for the</w:t>
      </w:r>
      <w:r w:rsidR="0043744A"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aggregate with size number 4 </w:t>
      </w:r>
      <w:r w:rsidRPr="0083216D">
        <w:rPr>
          <w:rFonts w:ascii="Times New Roman" w:eastAsiaTheme="minorEastAsia" w:hAnsi="Times New Roman" w:cs="Times New Roman"/>
          <w:sz w:val="24"/>
          <w:szCs w:val="24"/>
        </w:rPr>
        <w:t>according to ASTM C33-18</w:t>
      </w:r>
      <w:r w:rsidR="0043744A"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says that the percentage of passing mass of 37.5 mm should be in the between 90 and 100. On the other hand, aggregate Z couldn't satisfy this condition.In order to satisfy this requirement, grinding may be used, Yet it is not an economical choice. Besides,</w:t>
      </w:r>
      <w:r w:rsidR="00ED31C9"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if sieve limits will be checked before, different and finer  aggregate can be used.</w:t>
      </w:r>
    </w:p>
    <w:p w:rsidR="00ED31C9" w:rsidRPr="0083216D" w:rsidRDefault="00ED31C9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 w:rsidRPr="00AB0F2C">
        <w:rPr>
          <w:rFonts w:ascii="Times New Roman" w:eastAsiaTheme="minorEastAsia" w:hAnsi="Times New Roman" w:cs="Times New Roman"/>
          <w:b/>
          <w:sz w:val="24"/>
          <w:szCs w:val="24"/>
        </w:rPr>
        <w:t>d-)</w:t>
      </w:r>
      <w:r w:rsidR="00E62E56" w:rsidRPr="008321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ambria Math" w:eastAsiaTheme="maj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Fineness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Modulus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Aggregate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Times New Roman" w:cs="Times New Roman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Cumulative</m:t>
                  </m:r>
                  <m:r>
                    <m:rPr>
                      <m:sty m:val="p"/>
                    </m:rP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percent</m:t>
                  </m:r>
                  <m:r>
                    <m:rPr>
                      <m:sty m:val="p"/>
                    </m:rP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retained</m:t>
                  </m:r>
                  <m:r>
                    <m:rPr>
                      <m:sty m:val="p"/>
                    </m:rP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each</m:t>
                  </m:r>
                  <m:r>
                    <m:rPr>
                      <m:sty m:val="p"/>
                    </m:rPr>
                    <w:rPr>
                      <w:rFonts w:ascii="Cambria Math" w:eastAsiaTheme="majorEastAsia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sieve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0+45+94+100+100+100+100+100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=6.39</m:t>
          </m:r>
        </m:oMath>
      </m:oMathPara>
    </w:p>
    <w:p w:rsidR="00ED31C9" w:rsidRPr="0083216D" w:rsidRDefault="0083216D" w:rsidP="0083216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Fineness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Modulus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Aggregate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0+0+69+98+100+100+100+100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=5.67</m:t>
          </m:r>
        </m:oMath>
      </m:oMathPara>
    </w:p>
    <w:p w:rsidR="00ED31C9" w:rsidRPr="0083216D" w:rsidRDefault="0083216D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Fineness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Modulus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Aggregate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0+33.75+87.75+99.5+100+100+100+100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Times New Roman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ajorEastAsia" w:hAnsi="Times New Roman" w:cs="Times New Roman"/>
              <w:sz w:val="24"/>
              <w:szCs w:val="24"/>
            </w:rPr>
            <m:t>=6.21</m:t>
          </m:r>
        </m:oMath>
      </m:oMathPara>
    </w:p>
    <w:p w:rsidR="00E02E14" w:rsidRDefault="00E02E14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F2C" w:rsidRPr="00AB0F2C" w:rsidRDefault="00AB0F2C" w:rsidP="008321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2E56" w:rsidRPr="0083216D" w:rsidRDefault="00E62E56" w:rsidP="008321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B0F2C" w:rsidRDefault="00AB0F2C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6A81" w:rsidRDefault="00140066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9</w:t>
      </w:r>
      <w:r w:rsidR="007B644A" w:rsidRPr="007B644A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256A81" w:rsidRPr="007B644A">
        <w:rPr>
          <w:rFonts w:ascii="Times New Roman" w:eastAsiaTheme="minorEastAsia" w:hAnsi="Times New Roman" w:cs="Times New Roman"/>
          <w:b/>
          <w:sz w:val="24"/>
          <w:szCs w:val="24"/>
        </w:rPr>
        <w:t>Conclusion</w:t>
      </w:r>
    </w:p>
    <w:p w:rsidR="00D84390" w:rsidRPr="00AB0F2C" w:rsidRDefault="00AB0F2C" w:rsidP="00AB0F2C">
      <w:pPr>
        <w:pStyle w:val="ListeParagraf"/>
        <w:jc w:val="center"/>
        <w:rPr>
          <w:b w:val="0"/>
        </w:rPr>
      </w:pPr>
      <w:r>
        <w:rPr>
          <w:b w:val="0"/>
        </w:rPr>
        <w:t>Table 5</w:t>
      </w:r>
      <w:r w:rsidR="00D84390" w:rsidRPr="00AB0F2C">
        <w:rPr>
          <w:b w:val="0"/>
        </w:rPr>
        <w:t xml:space="preserve"> : The </w:t>
      </w:r>
      <w:r>
        <w:rPr>
          <w:b w:val="0"/>
        </w:rPr>
        <w:t>Comparison of Aggregate A and ASTM C33 Grading Requirements</w:t>
      </w:r>
    </w:p>
    <w:tbl>
      <w:tblPr>
        <w:tblW w:w="808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675"/>
        <w:gridCol w:w="1314"/>
        <w:gridCol w:w="4107"/>
        <w:gridCol w:w="1984"/>
      </w:tblGrid>
      <w:tr w:rsidR="00D84390" w:rsidRPr="00F73001" w:rsidTr="00AB0F2C">
        <w:trPr>
          <w:trHeight w:val="300"/>
          <w:jc w:val="center"/>
        </w:trPr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Aggregate A</w:t>
            </w:r>
          </w:p>
        </w:tc>
        <w:bookmarkStart w:id="4" w:name="RANGE!I6"/>
        <w:tc>
          <w:tcPr>
            <w:tcW w:w="4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B70316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tr-TR" w:eastAsia="tr-TR"/>
              </w:rPr>
              <w:fldChar w:fldCharType="begin"/>
            </w:r>
            <w:r w:rsidR="00F73001" w:rsidRPr="00F730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tr-TR" w:eastAsia="tr-TR"/>
              </w:rPr>
              <w:instrText xml:space="preserve"> HYPERLINK "https://compass.astm.org/EDIT/html_annot.cgi?E11" </w:instrText>
            </w:r>
            <w:r w:rsidRPr="00F730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tr-TR" w:eastAsia="tr-TR"/>
              </w:rPr>
              <w:fldChar w:fldCharType="separate"/>
            </w:r>
            <w:r w:rsidR="00F73001" w:rsidRPr="0083216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tr-TR" w:eastAsia="tr-TR"/>
              </w:rPr>
              <w:t>Sieve (Specification E11)</w:t>
            </w:r>
            <w:r w:rsidRPr="00F7300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tr-TR" w:eastAsia="tr-TR"/>
              </w:rPr>
              <w:fldChar w:fldCharType="end"/>
            </w:r>
            <w:bookmarkEnd w:id="4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Percent Passing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Sieve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Percent Passing (%)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 100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100,00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4.75-mm (No. 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  95 to 100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96,55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2.36-mm (No. 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  80 to 100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#16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80,17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1.18-mm (No. 16)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  50 to 85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33,62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600-μm (No. 30)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  25 to 60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#50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9,48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300-μm (No. 50)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   5 to 30</w:t>
            </w:r>
          </w:p>
        </w:tc>
      </w:tr>
      <w:tr w:rsidR="00D84390" w:rsidRPr="00F73001" w:rsidTr="00AB0F2C">
        <w:trPr>
          <w:trHeight w:val="300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#100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4,31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150-μm (No. 100)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   0 to 10</w:t>
            </w:r>
          </w:p>
        </w:tc>
      </w:tr>
      <w:tr w:rsidR="00D84390" w:rsidRPr="00F73001" w:rsidTr="00AB0F2C">
        <w:trPr>
          <w:trHeight w:val="345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#200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tr-TR" w:eastAsia="tr-TR"/>
              </w:rPr>
              <w:t>1,72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75-μm (No. 200)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F73001" w:rsidRPr="00F73001" w:rsidRDefault="00F73001" w:rsidP="0083216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</w:pP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val="tr-TR" w:eastAsia="tr-TR"/>
              </w:rPr>
              <w:t>   0 to 3.0</w:t>
            </w:r>
            <w:r w:rsidRPr="00F7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vertAlign w:val="superscript"/>
                <w:lang w:val="tr-TR" w:eastAsia="tr-TR"/>
              </w:rPr>
              <w:t>A,B</w:t>
            </w:r>
          </w:p>
        </w:tc>
      </w:tr>
    </w:tbl>
    <w:p w:rsidR="00F73001" w:rsidRPr="007B644A" w:rsidRDefault="00F73001" w:rsidP="0083216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67731" w:rsidRDefault="00767731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ASTM C33 Standard ,</w:t>
      </w:r>
      <w:r w:rsidR="00050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Aggregate A satisfies all grading requirements</w:t>
      </w:r>
      <w:r w:rsidR="00D84390">
        <w:rPr>
          <w:rFonts w:ascii="Times New Roman" w:hAnsi="Times New Roman" w:cs="Times New Roman"/>
          <w:sz w:val="24"/>
          <w:szCs w:val="24"/>
        </w:rPr>
        <w:t>.</w:t>
      </w:r>
    </w:p>
    <w:p w:rsidR="00D84390" w:rsidRDefault="00D84390" w:rsidP="008321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6DCF" w:rsidRDefault="00140066" w:rsidP="007B644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10</w:t>
      </w:r>
      <w:r w:rsidR="007B644A" w:rsidRPr="007B644A">
        <w:rPr>
          <w:rFonts w:ascii="Times New Roman" w:eastAsiaTheme="minorEastAsia" w:hAnsi="Times New Roman" w:cs="Times New Roman"/>
          <w:b/>
          <w:sz w:val="24"/>
          <w:szCs w:val="24"/>
        </w:rPr>
        <w:t>. References</w:t>
      </w:r>
    </w:p>
    <w:p w:rsidR="00140066" w:rsidRPr="0083216D" w:rsidRDefault="00140066" w:rsidP="0083216D">
      <w:pPr>
        <w:jc w:val="both"/>
        <w:rPr>
          <w:rFonts w:ascii="Times New Roman" w:hAnsi="Times New Roman" w:cs="Times New Roman"/>
          <w:sz w:val="24"/>
          <w:szCs w:val="24"/>
        </w:rPr>
      </w:pPr>
      <w:r w:rsidRPr="0083216D">
        <w:rPr>
          <w:rFonts w:ascii="Times New Roman" w:hAnsi="Times New Roman" w:cs="Times New Roman"/>
          <w:sz w:val="24"/>
          <w:szCs w:val="24"/>
        </w:rPr>
        <w:t>CE344 Lecture Notes</w:t>
      </w:r>
    </w:p>
    <w:sdt>
      <w:sdtPr>
        <w:rPr>
          <w:rFonts w:ascii="Times New Roman" w:hAnsi="Times New Roman" w:cs="Times New Roman"/>
          <w:sz w:val="24"/>
          <w:szCs w:val="24"/>
          <w:lang w:val="tr-TR"/>
        </w:rPr>
        <w:id w:val="12130456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A81211" w:rsidRPr="0083216D" w:rsidRDefault="00B70316" w:rsidP="0083216D">
          <w:pPr>
            <w:pStyle w:val="Kaynaka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3216D">
            <w:rPr>
              <w:rFonts w:ascii="Times New Roman" w:hAnsi="Times New Roman" w:cs="Times New Roman"/>
              <w:sz w:val="24"/>
              <w:szCs w:val="24"/>
              <w:lang w:val="tr-TR"/>
            </w:rPr>
            <w:fldChar w:fldCharType="begin"/>
          </w:r>
          <w:r w:rsidR="00140066" w:rsidRPr="0083216D">
            <w:rPr>
              <w:rFonts w:ascii="Times New Roman" w:hAnsi="Times New Roman" w:cs="Times New Roman"/>
              <w:sz w:val="24"/>
              <w:szCs w:val="24"/>
              <w:lang w:val="tr-TR"/>
            </w:rPr>
            <w:instrText xml:space="preserve"> BIBLIOGRAPHY </w:instrText>
          </w:r>
          <w:r w:rsidRPr="0083216D">
            <w:rPr>
              <w:rFonts w:ascii="Times New Roman" w:hAnsi="Times New Roman" w:cs="Times New Roman"/>
              <w:sz w:val="24"/>
              <w:szCs w:val="24"/>
              <w:lang w:val="tr-TR"/>
            </w:rPr>
            <w:fldChar w:fldCharType="separate"/>
          </w:r>
          <w:r w:rsidR="00A81211" w:rsidRPr="0083216D">
            <w:rPr>
              <w:rFonts w:ascii="Times New Roman" w:hAnsi="Times New Roman" w:cs="Times New Roman"/>
              <w:noProof/>
              <w:sz w:val="24"/>
              <w:szCs w:val="24"/>
            </w:rPr>
            <w:t xml:space="preserve">ASTM. (n.d.). </w:t>
          </w:r>
          <w:r w:rsidR="00A81211" w:rsidRPr="0083216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Designation: C33/C33M-18</w:t>
          </w:r>
          <w:r w:rsidR="00A81211" w:rsidRPr="0083216D">
            <w:rPr>
              <w:rFonts w:ascii="Times New Roman" w:hAnsi="Times New Roman" w:cs="Times New Roman"/>
              <w:noProof/>
              <w:sz w:val="24"/>
              <w:szCs w:val="24"/>
            </w:rPr>
            <w:t>. Retrieved 0</w:t>
          </w:r>
          <w:r w:rsidR="0037329B" w:rsidRPr="0083216D">
            <w:rPr>
              <w:rFonts w:ascii="Times New Roman" w:hAnsi="Times New Roman" w:cs="Times New Roman"/>
              <w:noProof/>
              <w:sz w:val="24"/>
              <w:szCs w:val="24"/>
            </w:rPr>
            <w:t>4 22</w:t>
          </w:r>
          <w:r w:rsidR="00A81211" w:rsidRPr="0083216D">
            <w:rPr>
              <w:rFonts w:ascii="Times New Roman" w:hAnsi="Times New Roman" w:cs="Times New Roman"/>
              <w:noProof/>
              <w:sz w:val="24"/>
              <w:szCs w:val="24"/>
            </w:rPr>
            <w:t>, 2019, from American Society for Testing and Materials: https://compass.astm.org/EDIT/html_annot.cgi?C204+18#s00040</w:t>
          </w:r>
        </w:p>
        <w:p w:rsidR="00A81211" w:rsidRPr="0083216D" w:rsidRDefault="00A81211" w:rsidP="0083216D">
          <w:pPr>
            <w:pStyle w:val="Kaynaka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3216D">
            <w:rPr>
              <w:rFonts w:ascii="Times New Roman" w:hAnsi="Times New Roman" w:cs="Times New Roman"/>
              <w:noProof/>
              <w:sz w:val="24"/>
              <w:szCs w:val="24"/>
            </w:rPr>
            <w:t xml:space="preserve">ASTM. (n.d.). </w:t>
          </w:r>
          <w:r w:rsidRPr="0083216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Designation: C</w:t>
          </w:r>
          <w:r w:rsidR="0037329B" w:rsidRPr="0083216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136/C136M—14</w:t>
          </w:r>
          <w:r w:rsidRPr="0083216D">
            <w:rPr>
              <w:rFonts w:ascii="Times New Roman" w:hAnsi="Times New Roman" w:cs="Times New Roman"/>
              <w:noProof/>
              <w:sz w:val="24"/>
              <w:szCs w:val="24"/>
            </w:rPr>
            <w:t>. Retrieved 0</w:t>
          </w:r>
          <w:r w:rsidR="0037329B" w:rsidRPr="0083216D">
            <w:rPr>
              <w:rFonts w:ascii="Times New Roman" w:hAnsi="Times New Roman" w:cs="Times New Roman"/>
              <w:noProof/>
              <w:sz w:val="24"/>
              <w:szCs w:val="24"/>
            </w:rPr>
            <w:t>4 22</w:t>
          </w:r>
          <w:r w:rsidRPr="0083216D">
            <w:rPr>
              <w:rFonts w:ascii="Times New Roman" w:hAnsi="Times New Roman" w:cs="Times New Roman"/>
              <w:noProof/>
              <w:sz w:val="24"/>
              <w:szCs w:val="24"/>
            </w:rPr>
            <w:t>, 2019, from American Society for Testing and Materials: https://compass.astm.org</w:t>
          </w:r>
        </w:p>
        <w:p w:rsidR="00A81211" w:rsidRPr="0083216D" w:rsidRDefault="00A81211" w:rsidP="0083216D">
          <w:pPr>
            <w:pStyle w:val="Kaynaka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3216D">
            <w:rPr>
              <w:rFonts w:ascii="Times New Roman" w:hAnsi="Times New Roman" w:cs="Times New Roman"/>
              <w:noProof/>
              <w:sz w:val="24"/>
              <w:szCs w:val="24"/>
            </w:rPr>
            <w:t xml:space="preserve">Erdoğan, S. T., &amp; Erdoğan, T. Y. (2014). </w:t>
          </w:r>
          <w:r w:rsidRPr="0083216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BASIC MATERIALS OF CONSTRUCTION.</w:t>
          </w:r>
          <w:r w:rsidRPr="0083216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Ankara: METU PRESS.</w:t>
          </w:r>
        </w:p>
        <w:p w:rsidR="00140066" w:rsidRDefault="00B70316" w:rsidP="0083216D">
          <w:pPr>
            <w:jc w:val="both"/>
            <w:rPr>
              <w:lang w:val="tr-TR"/>
            </w:rPr>
          </w:pPr>
          <w:r w:rsidRPr="0083216D">
            <w:rPr>
              <w:rFonts w:ascii="Times New Roman" w:hAnsi="Times New Roman" w:cs="Times New Roman"/>
              <w:sz w:val="24"/>
              <w:szCs w:val="24"/>
              <w:lang w:val="tr-TR"/>
            </w:rPr>
            <w:fldChar w:fldCharType="end"/>
          </w:r>
        </w:p>
      </w:sdtContent>
    </w:sdt>
    <w:p w:rsidR="00140066" w:rsidRPr="00140066" w:rsidRDefault="00140066" w:rsidP="007B644A">
      <w:pPr>
        <w:rPr>
          <w:rFonts w:ascii="Times New Roman" w:hAnsi="Times New Roman" w:cs="Times New Roman"/>
          <w:sz w:val="24"/>
          <w:szCs w:val="24"/>
        </w:rPr>
      </w:pPr>
    </w:p>
    <w:sectPr w:rsidR="00140066" w:rsidRPr="00140066" w:rsidSect="002B7F10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773" w:rsidRDefault="00430773" w:rsidP="003A58FC">
      <w:pPr>
        <w:spacing w:after="0" w:line="240" w:lineRule="auto"/>
      </w:pPr>
      <w:r>
        <w:separator/>
      </w:r>
    </w:p>
  </w:endnote>
  <w:endnote w:type="continuationSeparator" w:id="1">
    <w:p w:rsidR="00430773" w:rsidRDefault="00430773" w:rsidP="003A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8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90" w:rsidRDefault="00D84390">
    <w:pPr>
      <w:pStyle w:val="Altbilgi"/>
      <w:jc w:val="center"/>
    </w:pPr>
  </w:p>
  <w:p w:rsidR="00D84390" w:rsidRDefault="00D84390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56271"/>
      <w:docPartObj>
        <w:docPartGallery w:val="Page Numbers (Bottom of Page)"/>
        <w:docPartUnique/>
      </w:docPartObj>
    </w:sdtPr>
    <w:sdtContent>
      <w:p w:rsidR="002B7F10" w:rsidRDefault="00B70316">
        <w:pPr>
          <w:pStyle w:val="Altbilgi"/>
          <w:jc w:val="center"/>
        </w:pPr>
        <w:fldSimple w:instr=" PAGE   \* MERGEFORMAT ">
          <w:r w:rsidR="000506E1">
            <w:rPr>
              <w:noProof/>
            </w:rPr>
            <w:t>9</w:t>
          </w:r>
        </w:fldSimple>
      </w:p>
    </w:sdtContent>
  </w:sdt>
  <w:p w:rsidR="00AB0F2C" w:rsidRDefault="00AB0F2C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2C" w:rsidRDefault="00AB0F2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773" w:rsidRDefault="00430773" w:rsidP="003A58FC">
      <w:pPr>
        <w:spacing w:after="0" w:line="240" w:lineRule="auto"/>
      </w:pPr>
      <w:r>
        <w:separator/>
      </w:r>
    </w:p>
  </w:footnote>
  <w:footnote w:type="continuationSeparator" w:id="1">
    <w:p w:rsidR="00430773" w:rsidRDefault="00430773" w:rsidP="003A5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0D36"/>
    <w:multiLevelType w:val="hybridMultilevel"/>
    <w:tmpl w:val="264442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525BB"/>
    <w:multiLevelType w:val="hybridMultilevel"/>
    <w:tmpl w:val="6DBE93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7432A"/>
    <w:multiLevelType w:val="hybridMultilevel"/>
    <w:tmpl w:val="B91020FE"/>
    <w:lvl w:ilvl="0" w:tplc="041F0013">
      <w:start w:val="1"/>
      <w:numFmt w:val="upperRoman"/>
      <w:lvlText w:val="%1."/>
      <w:lvlJc w:val="righ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0E40B9"/>
    <w:multiLevelType w:val="hybridMultilevel"/>
    <w:tmpl w:val="682603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7555"/>
    <w:multiLevelType w:val="hybridMultilevel"/>
    <w:tmpl w:val="69E8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D0E"/>
    <w:rsid w:val="000506E1"/>
    <w:rsid w:val="000525F4"/>
    <w:rsid w:val="001063A5"/>
    <w:rsid w:val="00140066"/>
    <w:rsid w:val="00175D5E"/>
    <w:rsid w:val="001C4A0C"/>
    <w:rsid w:val="00256A81"/>
    <w:rsid w:val="002910CB"/>
    <w:rsid w:val="002B6677"/>
    <w:rsid w:val="002B7F10"/>
    <w:rsid w:val="00344311"/>
    <w:rsid w:val="00364AF7"/>
    <w:rsid w:val="0037329B"/>
    <w:rsid w:val="0038195C"/>
    <w:rsid w:val="003A58FC"/>
    <w:rsid w:val="003F6B8F"/>
    <w:rsid w:val="00430773"/>
    <w:rsid w:val="0043744A"/>
    <w:rsid w:val="004E3CD8"/>
    <w:rsid w:val="0051056A"/>
    <w:rsid w:val="00516EBB"/>
    <w:rsid w:val="005B451D"/>
    <w:rsid w:val="00607948"/>
    <w:rsid w:val="006654D7"/>
    <w:rsid w:val="006B2D46"/>
    <w:rsid w:val="006D0837"/>
    <w:rsid w:val="00706FD6"/>
    <w:rsid w:val="00766764"/>
    <w:rsid w:val="00767731"/>
    <w:rsid w:val="00782AB9"/>
    <w:rsid w:val="00792049"/>
    <w:rsid w:val="007A117E"/>
    <w:rsid w:val="007B644A"/>
    <w:rsid w:val="007E60AF"/>
    <w:rsid w:val="00802885"/>
    <w:rsid w:val="0083216D"/>
    <w:rsid w:val="00853EBC"/>
    <w:rsid w:val="008E648C"/>
    <w:rsid w:val="00923BAD"/>
    <w:rsid w:val="00A81211"/>
    <w:rsid w:val="00AB0F2C"/>
    <w:rsid w:val="00AE231A"/>
    <w:rsid w:val="00AF56B8"/>
    <w:rsid w:val="00B44675"/>
    <w:rsid w:val="00B67ED2"/>
    <w:rsid w:val="00B70316"/>
    <w:rsid w:val="00B7676E"/>
    <w:rsid w:val="00B915D9"/>
    <w:rsid w:val="00C042B4"/>
    <w:rsid w:val="00CC3D03"/>
    <w:rsid w:val="00CF601B"/>
    <w:rsid w:val="00D24059"/>
    <w:rsid w:val="00D30422"/>
    <w:rsid w:val="00D469F4"/>
    <w:rsid w:val="00D603DF"/>
    <w:rsid w:val="00D65ABE"/>
    <w:rsid w:val="00D66DCF"/>
    <w:rsid w:val="00D84390"/>
    <w:rsid w:val="00DB0DDF"/>
    <w:rsid w:val="00E02E14"/>
    <w:rsid w:val="00E62E56"/>
    <w:rsid w:val="00ED31C9"/>
    <w:rsid w:val="00ED792D"/>
    <w:rsid w:val="00EE4BEB"/>
    <w:rsid w:val="00F23D0E"/>
    <w:rsid w:val="00F72D7E"/>
    <w:rsid w:val="00F73001"/>
    <w:rsid w:val="00F838D0"/>
    <w:rsid w:val="00FB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D7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15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15D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6B2D46"/>
    <w:pPr>
      <w:spacing w:after="120"/>
      <w:ind w:left="720"/>
      <w:contextualSpacing/>
    </w:pPr>
    <w:rPr>
      <w:rFonts w:ascii="Times New Roman" w:hAnsi="Times New Roman" w:cs="Times New Roman"/>
      <w:b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6B2D46"/>
    <w:pPr>
      <w:spacing w:line="240" w:lineRule="auto"/>
    </w:pPr>
    <w:rPr>
      <w:rFonts w:ascii="Times New Roman" w:hAnsi="Times New Roman" w:cs="Times New Roman"/>
      <w:b/>
      <w:i/>
      <w:iCs/>
      <w:color w:val="1F497D" w:themeColor="text2"/>
      <w:sz w:val="18"/>
      <w:szCs w:val="18"/>
    </w:rPr>
  </w:style>
  <w:style w:type="character" w:customStyle="1" w:styleId="note">
    <w:name w:val="note"/>
    <w:basedOn w:val="VarsaylanParagrafYazTipi"/>
    <w:rsid w:val="00766764"/>
  </w:style>
  <w:style w:type="paragraph" w:styleId="BalonMetni">
    <w:name w:val="Balloon Text"/>
    <w:basedOn w:val="Normal"/>
    <w:link w:val="BalonMetniChar"/>
    <w:uiPriority w:val="99"/>
    <w:semiHidden/>
    <w:unhideWhenUsed/>
    <w:rsid w:val="0076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6764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923BAD"/>
    <w:rPr>
      <w:color w:val="808080"/>
    </w:rPr>
  </w:style>
  <w:style w:type="table" w:styleId="TabloKlavuzu">
    <w:name w:val="Table Grid"/>
    <w:basedOn w:val="NormalTablo"/>
    <w:uiPriority w:val="59"/>
    <w:rsid w:val="00F838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kGlgeleme-Vurgu11">
    <w:name w:val="Açık Gölgeleme - Vurgu 11"/>
    <w:basedOn w:val="NormalTablo"/>
    <w:uiPriority w:val="60"/>
    <w:rsid w:val="00F838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4">
    <w:name w:val="Light Shading Accent 4"/>
    <w:basedOn w:val="NormalTablo"/>
    <w:uiPriority w:val="60"/>
    <w:rsid w:val="00F83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3">
    <w:name w:val="Light Shading Accent 3"/>
    <w:basedOn w:val="NormalTablo"/>
    <w:uiPriority w:val="60"/>
    <w:rsid w:val="00516E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6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6A8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3A5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A58FC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3A5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A58FC"/>
    <w:rPr>
      <w:lang w:val="en-US"/>
    </w:rPr>
  </w:style>
  <w:style w:type="paragraph" w:styleId="Kaynaka">
    <w:name w:val="Bibliography"/>
    <w:basedOn w:val="Normal"/>
    <w:next w:val="Normal"/>
    <w:uiPriority w:val="37"/>
    <w:unhideWhenUsed/>
    <w:rsid w:val="00140066"/>
  </w:style>
  <w:style w:type="table" w:customStyle="1" w:styleId="TableNormal">
    <w:name w:val="Table Normal"/>
    <w:uiPriority w:val="2"/>
    <w:semiHidden/>
    <w:unhideWhenUsed/>
    <w:qFormat/>
    <w:rsid w:val="00782A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82A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Kpr">
    <w:name w:val="Hyperlink"/>
    <w:basedOn w:val="VarsaylanParagrafYazTipi"/>
    <w:uiPriority w:val="99"/>
    <w:semiHidden/>
    <w:unhideWhenUsed/>
    <w:rsid w:val="00F730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Kitap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/>
            </a:pPr>
            <a:r>
              <a:rPr lang="tr-TR"/>
              <a:t>Gradation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6542062643873717"/>
          <c:y val="0.12298779079904057"/>
          <c:w val="0.80198152345990259"/>
          <c:h val="0.67983714782510363"/>
        </c:manualLayout>
      </c:layout>
      <c:scatterChart>
        <c:scatterStyle val="smoothMarker"/>
        <c:ser>
          <c:idx val="0"/>
          <c:order val="0"/>
          <c:xVal>
            <c:numRef>
              <c:f>Sayfa1!$E$8:$E$14</c:f>
              <c:numCache>
                <c:formatCode>General</c:formatCode>
                <c:ptCount val="7"/>
                <c:pt idx="0">
                  <c:v>4.75</c:v>
                </c:pt>
                <c:pt idx="1">
                  <c:v>2.36</c:v>
                </c:pt>
                <c:pt idx="2">
                  <c:v>1.1800000000000006</c:v>
                </c:pt>
                <c:pt idx="3">
                  <c:v>0.60000000000000031</c:v>
                </c:pt>
                <c:pt idx="4">
                  <c:v>0.30000000000000016</c:v>
                </c:pt>
                <c:pt idx="5">
                  <c:v>0.15000000000000008</c:v>
                </c:pt>
                <c:pt idx="6">
                  <c:v>7.5000000000000039E-2</c:v>
                </c:pt>
              </c:numCache>
            </c:numRef>
          </c:xVal>
          <c:yVal>
            <c:numRef>
              <c:f>Sayfa1!$H$8:$H$16</c:f>
              <c:numCache>
                <c:formatCode>0.00</c:formatCode>
                <c:ptCount val="9"/>
                <c:pt idx="0">
                  <c:v>100</c:v>
                </c:pt>
                <c:pt idx="1">
                  <c:v>96.551724137931018</c:v>
                </c:pt>
                <c:pt idx="2">
                  <c:v>80.172413793103402</c:v>
                </c:pt>
                <c:pt idx="3">
                  <c:v>33.620689655172384</c:v>
                </c:pt>
                <c:pt idx="4">
                  <c:v>9.4827586206896548</c:v>
                </c:pt>
                <c:pt idx="5">
                  <c:v>4.310344827586202</c:v>
                </c:pt>
                <c:pt idx="6">
                  <c:v>1.7241379310344771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2FA-4238-92C5-7B015D51CCFA}"/>
            </c:ext>
          </c:extLst>
        </c:ser>
        <c:axId val="120121600"/>
        <c:axId val="177690496"/>
      </c:scatterChart>
      <c:valAx>
        <c:axId val="120121600"/>
        <c:scaling>
          <c:logBase val="10"/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2000" baseline="0"/>
                  <a:t>Sieve size (mm)</a:t>
                </a:r>
                <a:endParaRPr lang="tr-TR" sz="2000"/>
              </a:p>
            </c:rich>
          </c:tx>
        </c:title>
        <c:numFmt formatCode="General" sourceLinked="1"/>
        <c:tickLblPos val="nextTo"/>
        <c:crossAx val="177690496"/>
        <c:crosses val="autoZero"/>
        <c:crossBetween val="midCat"/>
      </c:valAx>
      <c:valAx>
        <c:axId val="177690496"/>
        <c:scaling>
          <c:orientation val="minMax"/>
          <c:max val="10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 sz="2000"/>
                  <a:t>Percent</a:t>
                </a:r>
                <a:r>
                  <a:rPr lang="tr-TR" sz="2000" baseline="0"/>
                  <a:t> Cumulative Passing (%)</a:t>
                </a:r>
                <a:endParaRPr lang="tr-TR" sz="2000"/>
              </a:p>
            </c:rich>
          </c:tx>
          <c:layout>
            <c:manualLayout>
              <c:xMode val="edge"/>
              <c:yMode val="edge"/>
              <c:x val="2.1205048699405597E-2"/>
              <c:y val="0.1166369800722846"/>
            </c:manualLayout>
          </c:layout>
        </c:title>
        <c:numFmt formatCode="0.00" sourceLinked="1"/>
        <c:tickLblPos val="low"/>
        <c:crossAx val="120121600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Sin14</b:Tag>
    <b:SourceType>Book</b:SourceType>
    <b:Guid>{50CEDF73-7CDE-4311-8C47-2F2BCA0C0E5C}</b:Guid>
    <b:LCID>0</b:LCID>
    <b:Author>
      <b:Author>
        <b:NameList>
          <b:Person>
            <b:Last>Erdoğan</b:Last>
            <b:First>Sinan</b:First>
            <b:Middle>T.</b:Middle>
          </b:Person>
          <b:Person>
            <b:Last>Erdoğan</b:Last>
            <b:First>Turhan</b:First>
            <b:Middle>Y.</b:Middle>
          </b:Person>
        </b:NameList>
      </b:Author>
    </b:Author>
    <b:Title>BASIC MATERIALS OF CONSTRUCTION</b:Title>
    <b:Year>2014</b:Year>
    <b:City>Ankara</b:City>
    <b:Publisher>METU PRESS</b:Publisher>
    <b:RefOrder>1</b:RefOrder>
  </b:Source>
  <b:Source>
    <b:Tag>AST19</b:Tag>
    <b:SourceType>InternetSite</b:SourceType>
    <b:Guid>{9494B1C6-1F8F-4E45-9BFB-9A512FB7CB3F}</b:Guid>
    <b:LCID>0</b:LCID>
    <b:Author>
      <b:Author>
        <b:Corporate>ASTM</b:Corporate>
      </b:Author>
    </b:Author>
    <b:Title>Designation: C348—18</b:Title>
    <b:InternetSiteTitle>American Society for Testing and Materials</b:InternetSiteTitle>
    <b:YearAccessed>2019</b:YearAccessed>
    <b:MonthAccessed>03</b:MonthAccessed>
    <b:DayAccessed>23</b:DayAccessed>
    <b:URL>https://compass.astm.org</b:URL>
    <b:RefOrder>2</b:RefOrder>
  </b:Source>
  <b:Source>
    <b:Tag>AST191</b:Tag>
    <b:SourceType>InternetSite</b:SourceType>
    <b:Guid>{F9CD0C8A-397C-420A-B7A0-E9CDD929485B}</b:Guid>
    <b:LCID>0</b:LCID>
    <b:Author>
      <b:Author>
        <b:NameList>
          <b:Person>
            <b:Last>ASTM</b:Last>
          </b:Person>
        </b:NameList>
      </b:Author>
    </b:Author>
    <b:Title>Designation: C204-18</b:Title>
    <b:InternetSiteTitle>American Society for Testing and Materials</b:InternetSiteTitle>
    <b:YearAccessed>2019</b:YearAccessed>
    <b:MonthAccessed>03</b:MonthAccessed>
    <b:DayAccessed>23</b:DayAccessed>
    <b:URL>https://compass.astm.org/EDIT/html_annot.cgi?C204+18#s00040</b:URL>
    <b:RefOrder>3</b:RefOrder>
  </b:Source>
</b:Sources>
</file>

<file path=customXml/itemProps1.xml><?xml version="1.0" encoding="utf-8"?>
<ds:datastoreItem xmlns:ds="http://schemas.openxmlformats.org/officeDocument/2006/customXml" ds:itemID="{2DA71A5C-A75A-47DB-BF14-2A508158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13</cp:revision>
  <dcterms:created xsi:type="dcterms:W3CDTF">2019-04-21T06:01:00Z</dcterms:created>
  <dcterms:modified xsi:type="dcterms:W3CDTF">2019-04-22T04:28:00Z</dcterms:modified>
</cp:coreProperties>
</file>