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6F" w:rsidRPr="00ED4EFF" w:rsidRDefault="00CC2C6F" w:rsidP="00CC2C6F">
      <w:pPr>
        <w:spacing w:line="360" w:lineRule="auto"/>
        <w:jc w:val="center"/>
        <w:rPr>
          <w:rFonts w:asciiTheme="majorHAnsi" w:hAnsiTheme="majorHAnsi"/>
          <w:sz w:val="40"/>
          <w:szCs w:val="40"/>
          <w:lang w:val="en-US"/>
        </w:rPr>
      </w:pPr>
      <w:r w:rsidRPr="00ED4EFF">
        <w:rPr>
          <w:rFonts w:asciiTheme="majorHAnsi" w:hAnsiTheme="majorHAnsi"/>
          <w:sz w:val="40"/>
          <w:szCs w:val="40"/>
          <w:lang w:val="en-US"/>
        </w:rPr>
        <w:t xml:space="preserve">MIDDLE EAST TECHNICAL UNIVERSITY </w:t>
      </w:r>
    </w:p>
    <w:p w:rsidR="00CC2C6F" w:rsidRPr="00ED4EFF" w:rsidRDefault="00CC2C6F" w:rsidP="00CC2C6F">
      <w:pPr>
        <w:pBdr>
          <w:bottom w:val="single" w:sz="6" w:space="1" w:color="auto"/>
        </w:pBdr>
        <w:spacing w:line="360" w:lineRule="auto"/>
        <w:jc w:val="center"/>
        <w:rPr>
          <w:rFonts w:asciiTheme="majorHAnsi" w:hAnsiTheme="majorHAnsi"/>
          <w:sz w:val="40"/>
          <w:szCs w:val="40"/>
          <w:lang w:val="en-US"/>
        </w:rPr>
      </w:pPr>
      <w:r w:rsidRPr="00ED4EFF">
        <w:rPr>
          <w:rFonts w:asciiTheme="majorHAnsi" w:hAnsiTheme="majorHAnsi"/>
          <w:sz w:val="40"/>
          <w:szCs w:val="40"/>
          <w:lang w:val="en-US"/>
        </w:rPr>
        <w:t>CIVIL ENGINEERING DEPARTMENT</w:t>
      </w:r>
    </w:p>
    <w:p w:rsidR="00CC2C6F" w:rsidRPr="00ED4EFF" w:rsidRDefault="00CC2C6F" w:rsidP="00CC2C6F">
      <w:pPr>
        <w:pStyle w:val="Balk1"/>
        <w:spacing w:line="360" w:lineRule="auto"/>
        <w:jc w:val="center"/>
        <w:rPr>
          <w:lang w:val="en-US"/>
        </w:rPr>
      </w:pPr>
      <w:r w:rsidRPr="00ED4EFF">
        <w:rPr>
          <w:lang w:val="en-US"/>
        </w:rPr>
        <w:t xml:space="preserve">Soil Mechanics Lab Report </w:t>
      </w:r>
    </w:p>
    <w:p w:rsidR="00B613E4" w:rsidRPr="00ED4EFF" w:rsidRDefault="00B613E4">
      <w:pPr>
        <w:rPr>
          <w:rFonts w:asciiTheme="majorHAnsi" w:hAnsiTheme="majorHAnsi"/>
          <w:lang w:val="en-US"/>
        </w:rPr>
      </w:pPr>
    </w:p>
    <w:tbl>
      <w:tblPr>
        <w:tblpPr w:leftFromText="180" w:rightFromText="180" w:vertAnchor="text" w:horzAnchor="margin" w:tblpXSpec="center" w:tblpY="3166"/>
        <w:tblW w:w="10280" w:type="dxa"/>
        <w:tblCellMar>
          <w:left w:w="70" w:type="dxa"/>
          <w:right w:w="70" w:type="dxa"/>
        </w:tblCellMar>
        <w:tblLook w:val="04A0" w:firstRow="1" w:lastRow="0" w:firstColumn="1" w:lastColumn="0" w:noHBand="0" w:noVBand="1"/>
      </w:tblPr>
      <w:tblGrid>
        <w:gridCol w:w="4360"/>
        <w:gridCol w:w="5920"/>
      </w:tblGrid>
      <w:tr w:rsidR="00CC2C6F" w:rsidRPr="00ED4EFF" w:rsidTr="00EB5323">
        <w:trPr>
          <w:trHeight w:val="1296"/>
        </w:trPr>
        <w:tc>
          <w:tcPr>
            <w:tcW w:w="4360" w:type="dxa"/>
            <w:tcBorders>
              <w:top w:val="single" w:sz="8" w:space="0" w:color="auto"/>
              <w:left w:val="single" w:sz="8" w:space="0" w:color="auto"/>
              <w:bottom w:val="single" w:sz="8" w:space="0" w:color="auto"/>
              <w:right w:val="single" w:sz="8" w:space="0" w:color="auto"/>
            </w:tcBorders>
            <w:noWrap/>
            <w:vAlign w:val="center"/>
            <w:hideMark/>
          </w:tcPr>
          <w:p w:rsidR="00CC2C6F" w:rsidRPr="00ED4EFF" w:rsidRDefault="00CC2C6F" w:rsidP="00EB5323">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Course No: CE363</w:t>
            </w:r>
          </w:p>
        </w:tc>
        <w:tc>
          <w:tcPr>
            <w:tcW w:w="5920" w:type="dxa"/>
            <w:tcBorders>
              <w:top w:val="single" w:sz="8" w:space="0" w:color="auto"/>
              <w:left w:val="nil"/>
              <w:bottom w:val="single" w:sz="8" w:space="0" w:color="auto"/>
              <w:right w:val="single" w:sz="8" w:space="0" w:color="auto"/>
            </w:tcBorders>
            <w:noWrap/>
            <w:vAlign w:val="center"/>
            <w:hideMark/>
          </w:tcPr>
          <w:p w:rsidR="00CC2C6F" w:rsidRPr="00ED4EFF" w:rsidRDefault="00CC2C6F" w:rsidP="00EB5323">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DATE OF TESTING: 25.11.2011</w:t>
            </w:r>
          </w:p>
        </w:tc>
      </w:tr>
      <w:tr w:rsidR="00CC2C6F" w:rsidRPr="00ED4EFF" w:rsidTr="00EB5323">
        <w:trPr>
          <w:trHeight w:val="744"/>
        </w:trPr>
        <w:tc>
          <w:tcPr>
            <w:tcW w:w="10280" w:type="dxa"/>
            <w:gridSpan w:val="2"/>
            <w:tcBorders>
              <w:top w:val="single" w:sz="8" w:space="0" w:color="auto"/>
              <w:left w:val="single" w:sz="8" w:space="0" w:color="auto"/>
              <w:bottom w:val="single" w:sz="4" w:space="0" w:color="auto"/>
              <w:right w:val="single" w:sz="8" w:space="0" w:color="000000"/>
            </w:tcBorders>
            <w:noWrap/>
            <w:vAlign w:val="center"/>
            <w:hideMark/>
          </w:tcPr>
          <w:p w:rsidR="00CC2C6F" w:rsidRPr="00ED4EFF" w:rsidRDefault="00CC2C6F" w:rsidP="00EB5323">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 xml:space="preserve">          NO. AND TITLE OF THE TEST: SML 22</w:t>
            </w:r>
          </w:p>
        </w:tc>
      </w:tr>
      <w:tr w:rsidR="00CC2C6F" w:rsidRPr="00ED4EFF" w:rsidTr="00EB5323">
        <w:trPr>
          <w:trHeight w:val="300"/>
        </w:trPr>
        <w:tc>
          <w:tcPr>
            <w:tcW w:w="10280" w:type="dxa"/>
            <w:gridSpan w:val="2"/>
            <w:tcBorders>
              <w:top w:val="nil"/>
              <w:left w:val="single" w:sz="8" w:space="0" w:color="auto"/>
              <w:bottom w:val="nil"/>
              <w:right w:val="single" w:sz="8" w:space="0" w:color="000000"/>
            </w:tcBorders>
            <w:noWrap/>
            <w:vAlign w:val="bottom"/>
            <w:hideMark/>
          </w:tcPr>
          <w:p w:rsidR="00CC2C6F" w:rsidRPr="00ED4EFF" w:rsidRDefault="00CC2C6F" w:rsidP="00EB5323">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Consolidation Test on an Undisturbed Clay</w:t>
            </w:r>
          </w:p>
        </w:tc>
      </w:tr>
      <w:tr w:rsidR="00CC2C6F" w:rsidRPr="00ED4EFF" w:rsidTr="00EB5323">
        <w:trPr>
          <w:trHeight w:val="984"/>
        </w:trPr>
        <w:tc>
          <w:tcPr>
            <w:tcW w:w="4360" w:type="dxa"/>
            <w:tcBorders>
              <w:top w:val="single" w:sz="8" w:space="0" w:color="auto"/>
              <w:left w:val="single" w:sz="8" w:space="0" w:color="auto"/>
              <w:bottom w:val="single" w:sz="8" w:space="0" w:color="auto"/>
              <w:right w:val="single" w:sz="8" w:space="0" w:color="auto"/>
            </w:tcBorders>
            <w:noWrap/>
            <w:vAlign w:val="center"/>
            <w:hideMark/>
          </w:tcPr>
          <w:p w:rsidR="00CC2C6F" w:rsidRPr="00ED4EFF" w:rsidRDefault="00CC2C6F" w:rsidP="00EB5323">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Year &amp; Section : 3, 04</w:t>
            </w:r>
          </w:p>
        </w:tc>
        <w:tc>
          <w:tcPr>
            <w:tcW w:w="5920" w:type="dxa"/>
            <w:tcBorders>
              <w:top w:val="single" w:sz="8" w:space="0" w:color="auto"/>
              <w:left w:val="nil"/>
              <w:bottom w:val="single" w:sz="8" w:space="0" w:color="auto"/>
              <w:right w:val="single" w:sz="8" w:space="0" w:color="auto"/>
            </w:tcBorders>
            <w:noWrap/>
            <w:vAlign w:val="center"/>
            <w:hideMark/>
          </w:tcPr>
          <w:p w:rsidR="00CC2C6F" w:rsidRPr="00ED4EFF" w:rsidRDefault="00CC2C6F" w:rsidP="00EB5323">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Lab Group: 03</w:t>
            </w:r>
          </w:p>
        </w:tc>
      </w:tr>
      <w:tr w:rsidR="00CC2C6F" w:rsidRPr="00ED4EFF" w:rsidTr="00EB5323">
        <w:trPr>
          <w:trHeight w:val="756"/>
        </w:trPr>
        <w:tc>
          <w:tcPr>
            <w:tcW w:w="10280" w:type="dxa"/>
            <w:gridSpan w:val="2"/>
            <w:tcBorders>
              <w:top w:val="nil"/>
              <w:left w:val="single" w:sz="8" w:space="0" w:color="auto"/>
              <w:bottom w:val="single" w:sz="8" w:space="0" w:color="auto"/>
              <w:right w:val="single" w:sz="8" w:space="0" w:color="000000"/>
            </w:tcBorders>
            <w:noWrap/>
            <w:vAlign w:val="center"/>
            <w:hideMark/>
          </w:tcPr>
          <w:p w:rsidR="00CC2C6F" w:rsidRPr="00ED4EFF" w:rsidRDefault="00CC2C6F" w:rsidP="00F14BFB">
            <w:pPr>
              <w:spacing w:after="0" w:line="360" w:lineRule="auto"/>
              <w:jc w:val="center"/>
              <w:rPr>
                <w:rFonts w:asciiTheme="majorHAnsi" w:hAnsiTheme="majorHAnsi"/>
                <w:color w:val="000000"/>
                <w:sz w:val="40"/>
                <w:szCs w:val="40"/>
                <w:lang w:val="en-US"/>
              </w:rPr>
            </w:pPr>
            <w:r w:rsidRPr="00ED4EFF">
              <w:rPr>
                <w:rFonts w:asciiTheme="majorHAnsi" w:hAnsiTheme="majorHAnsi"/>
                <w:color w:val="000000"/>
                <w:sz w:val="40"/>
                <w:szCs w:val="40"/>
                <w:lang w:val="en-US"/>
              </w:rPr>
              <w:t xml:space="preserve">Surname, Name: </w:t>
            </w:r>
            <w:bookmarkStart w:id="0" w:name="_GoBack"/>
            <w:bookmarkEnd w:id="0"/>
          </w:p>
        </w:tc>
      </w:tr>
    </w:tbl>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pPr>
        <w:rPr>
          <w:rFonts w:asciiTheme="majorHAnsi" w:hAnsiTheme="majorHAnsi"/>
          <w:lang w:val="en-US"/>
        </w:rPr>
      </w:pPr>
    </w:p>
    <w:p w:rsidR="00CC2C6F" w:rsidRPr="00ED4EFF" w:rsidRDefault="00CC2C6F" w:rsidP="00362ECF">
      <w:pPr>
        <w:pStyle w:val="Balk1"/>
        <w:rPr>
          <w:lang w:val="en-US"/>
        </w:rPr>
      </w:pPr>
      <w:r w:rsidRPr="00ED4EFF">
        <w:rPr>
          <w:lang w:val="en-US"/>
        </w:rPr>
        <w:lastRenderedPageBreak/>
        <w:t>SML 22- Consolidation Test on an Undisturbed Clay</w:t>
      </w:r>
    </w:p>
    <w:p w:rsidR="00CC2C6F" w:rsidRPr="00ED4EFF" w:rsidRDefault="00CC2C6F" w:rsidP="00362ECF">
      <w:pPr>
        <w:pStyle w:val="Balk2"/>
        <w:rPr>
          <w:lang w:val="en-US"/>
        </w:rPr>
      </w:pPr>
      <w:r w:rsidRPr="00ED4EFF">
        <w:rPr>
          <w:lang w:val="en-US"/>
        </w:rPr>
        <w:t>Object of the Experiment</w:t>
      </w:r>
    </w:p>
    <w:p w:rsidR="00CC2C6F" w:rsidRPr="00ED4EFF" w:rsidRDefault="00CC2C6F" w:rsidP="00CC2C6F">
      <w:pPr>
        <w:rPr>
          <w:rFonts w:asciiTheme="majorHAnsi" w:hAnsiTheme="majorHAnsi"/>
          <w:sz w:val="24"/>
          <w:szCs w:val="24"/>
          <w:lang w:val="en-US"/>
        </w:rPr>
      </w:pPr>
      <w:r w:rsidRPr="00ED4EFF">
        <w:rPr>
          <w:rFonts w:asciiTheme="majorHAnsi" w:hAnsiTheme="majorHAnsi"/>
          <w:sz w:val="24"/>
          <w:szCs w:val="24"/>
          <w:lang w:val="en-US"/>
        </w:rPr>
        <w:t>In this experiment, the object is to determine for an undisturbed clay, which is a cohesive soil;</w:t>
      </w:r>
    </w:p>
    <w:p w:rsidR="00CC2C6F" w:rsidRPr="00ED4EFF" w:rsidRDefault="00CC2C6F" w:rsidP="00CC2C6F">
      <w:pPr>
        <w:pStyle w:val="ListeParagraf"/>
        <w:numPr>
          <w:ilvl w:val="0"/>
          <w:numId w:val="3"/>
        </w:numPr>
        <w:rPr>
          <w:rFonts w:asciiTheme="majorHAnsi" w:hAnsiTheme="majorHAnsi"/>
          <w:sz w:val="24"/>
          <w:szCs w:val="24"/>
          <w:lang w:val="en-US"/>
        </w:rPr>
      </w:pPr>
      <w:r w:rsidRPr="00ED4EFF">
        <w:rPr>
          <w:rFonts w:asciiTheme="majorHAnsi" w:hAnsiTheme="majorHAnsi"/>
          <w:sz w:val="24"/>
          <w:szCs w:val="24"/>
          <w:lang w:val="en-US"/>
        </w:rPr>
        <w:t>The relationship between void ratio and the effective stress</w:t>
      </w:r>
    </w:p>
    <w:p w:rsidR="00CC2C6F" w:rsidRPr="00ED4EFF" w:rsidRDefault="00CC2C6F" w:rsidP="00CC2C6F">
      <w:pPr>
        <w:pStyle w:val="ListeParagraf"/>
        <w:numPr>
          <w:ilvl w:val="0"/>
          <w:numId w:val="3"/>
        </w:numPr>
        <w:rPr>
          <w:rFonts w:asciiTheme="majorHAnsi" w:hAnsiTheme="majorHAnsi"/>
          <w:sz w:val="24"/>
          <w:szCs w:val="24"/>
          <w:lang w:val="en-US"/>
        </w:rPr>
      </w:pPr>
      <w:r w:rsidRPr="00ED4EFF">
        <w:rPr>
          <w:rFonts w:asciiTheme="majorHAnsi" w:hAnsiTheme="majorHAnsi"/>
          <w:sz w:val="24"/>
          <w:szCs w:val="24"/>
          <w:lang w:val="en-US"/>
        </w:rPr>
        <w:t>The time-settlement characteristics.</w:t>
      </w:r>
    </w:p>
    <w:p w:rsidR="00362ECF" w:rsidRPr="00ED4EFF" w:rsidRDefault="00362ECF" w:rsidP="00362ECF">
      <w:pPr>
        <w:pStyle w:val="Balk2"/>
        <w:spacing w:line="360" w:lineRule="auto"/>
        <w:rPr>
          <w:lang w:val="en-US"/>
        </w:rPr>
      </w:pPr>
      <w:r w:rsidRPr="00ED4EFF">
        <w:rPr>
          <w:lang w:val="en-US"/>
        </w:rPr>
        <w:t>Apparatus</w:t>
      </w:r>
    </w:p>
    <w:p w:rsidR="00CC2C6F" w:rsidRPr="00ED4EFF" w:rsidRDefault="00362ECF" w:rsidP="00362ECF">
      <w:pPr>
        <w:pStyle w:val="ListeParagraf"/>
        <w:numPr>
          <w:ilvl w:val="0"/>
          <w:numId w:val="3"/>
        </w:numPr>
        <w:rPr>
          <w:rFonts w:asciiTheme="majorHAnsi" w:hAnsiTheme="majorHAnsi"/>
          <w:sz w:val="24"/>
          <w:szCs w:val="24"/>
          <w:lang w:val="en-US"/>
        </w:rPr>
      </w:pPr>
      <w:proofErr w:type="spellStart"/>
      <w:r w:rsidRPr="00ED4EFF">
        <w:rPr>
          <w:rFonts w:asciiTheme="majorHAnsi" w:hAnsiTheme="majorHAnsi"/>
          <w:sz w:val="24"/>
          <w:szCs w:val="24"/>
          <w:lang w:val="en-US"/>
        </w:rPr>
        <w:t>Consolidometer</w:t>
      </w:r>
      <w:proofErr w:type="spellEnd"/>
      <w:r w:rsidRPr="00ED4EFF">
        <w:rPr>
          <w:rFonts w:asciiTheme="majorHAnsi" w:hAnsiTheme="majorHAnsi"/>
          <w:sz w:val="24"/>
          <w:szCs w:val="24"/>
          <w:lang w:val="en-US"/>
        </w:rPr>
        <w:t xml:space="preserve"> </w:t>
      </w:r>
    </w:p>
    <w:p w:rsidR="00362ECF" w:rsidRPr="00ED4EFF" w:rsidRDefault="00362ECF" w:rsidP="00362ECF">
      <w:pPr>
        <w:pStyle w:val="ListeParagraf"/>
        <w:jc w:val="center"/>
        <w:rPr>
          <w:rFonts w:asciiTheme="majorHAnsi" w:hAnsiTheme="majorHAnsi"/>
          <w:sz w:val="24"/>
          <w:szCs w:val="24"/>
          <w:lang w:val="en-US"/>
        </w:rPr>
      </w:pPr>
      <w:r w:rsidRPr="00ED4EFF">
        <w:rPr>
          <w:rFonts w:asciiTheme="majorHAnsi" w:hAnsiTheme="majorHAnsi"/>
          <w:noProof/>
          <w:sz w:val="24"/>
          <w:szCs w:val="24"/>
        </w:rPr>
        <w:drawing>
          <wp:inline distT="0" distB="0" distL="0" distR="0" wp14:anchorId="69C75A16" wp14:editId="1FD7F31B">
            <wp:extent cx="1719368" cy="1959428"/>
            <wp:effectExtent l="0" t="0" r="0" b="3175"/>
            <wp:docPr id="1" name="Resim 1" descr="C:\Users\Ekin\Desktop\HM-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in\Desktop\HM-240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9336" cy="1959392"/>
                    </a:xfrm>
                    <a:prstGeom prst="rect">
                      <a:avLst/>
                    </a:prstGeom>
                    <a:noFill/>
                    <a:ln>
                      <a:noFill/>
                    </a:ln>
                  </pic:spPr>
                </pic:pic>
              </a:graphicData>
            </a:graphic>
          </wp:inline>
        </w:drawing>
      </w:r>
    </w:p>
    <w:p w:rsidR="00362ECF" w:rsidRPr="00ED4EFF" w:rsidRDefault="00F14BFB" w:rsidP="00362ECF">
      <w:pPr>
        <w:pStyle w:val="ListeParagraf"/>
        <w:jc w:val="center"/>
        <w:rPr>
          <w:rFonts w:asciiTheme="majorHAnsi" w:hAnsiTheme="majorHAnsi"/>
          <w:lang w:val="en-US"/>
        </w:rPr>
      </w:pPr>
      <w:hyperlink r:id="rId6" w:history="1">
        <w:r w:rsidR="00362ECF" w:rsidRPr="00ED4EFF">
          <w:rPr>
            <w:rStyle w:val="Kpr"/>
            <w:rFonts w:asciiTheme="majorHAnsi" w:hAnsiTheme="majorHAnsi"/>
            <w:lang w:val="en-US"/>
          </w:rPr>
          <w:t>http://www.humboldtmfg.com/c-2-p-99-id-2.html</w:t>
        </w:r>
      </w:hyperlink>
    </w:p>
    <w:p w:rsidR="0020661B" w:rsidRPr="00ED4EFF" w:rsidRDefault="0020661B" w:rsidP="0020661B">
      <w:pPr>
        <w:pStyle w:val="Balk2"/>
        <w:spacing w:line="360" w:lineRule="auto"/>
        <w:rPr>
          <w:lang w:val="en-US"/>
        </w:rPr>
      </w:pPr>
      <w:r w:rsidRPr="00ED4EFF">
        <w:rPr>
          <w:lang w:val="en-US"/>
        </w:rPr>
        <w:t>Theory</w:t>
      </w:r>
    </w:p>
    <w:p w:rsidR="00362ECF" w:rsidRPr="00ED4EFF" w:rsidRDefault="00B10349" w:rsidP="00362ECF">
      <w:pPr>
        <w:jc w:val="both"/>
        <w:rPr>
          <w:rFonts w:asciiTheme="majorHAnsi" w:hAnsiTheme="majorHAnsi"/>
          <w:sz w:val="24"/>
          <w:szCs w:val="24"/>
          <w:lang w:val="en-US"/>
        </w:rPr>
      </w:pPr>
      <w:r w:rsidRPr="00ED4EFF">
        <w:rPr>
          <w:rFonts w:asciiTheme="majorHAnsi" w:hAnsiTheme="majorHAnsi"/>
          <w:sz w:val="24"/>
          <w:szCs w:val="24"/>
          <w:lang w:val="en-US"/>
        </w:rPr>
        <w:t xml:space="preserve">Consolidation is the decrease in volume of soil. If the soil is saturated, the consolidation will occur with decreasing in water content of soil without any replacement of water by air. Consolidation occurs when any stress is applied to the soil specimen. We can predict the time for consolidation which can take years. The </w:t>
      </w:r>
      <w:proofErr w:type="spellStart"/>
      <w:r w:rsidRPr="00ED4EFF">
        <w:rPr>
          <w:rFonts w:asciiTheme="majorHAnsi" w:hAnsiTheme="majorHAnsi"/>
          <w:sz w:val="24"/>
          <w:szCs w:val="24"/>
          <w:lang w:val="en-US"/>
        </w:rPr>
        <w:t>coeffient</w:t>
      </w:r>
      <w:proofErr w:type="spellEnd"/>
      <w:r w:rsidRPr="00ED4EFF">
        <w:rPr>
          <w:rFonts w:asciiTheme="majorHAnsi" w:hAnsiTheme="majorHAnsi"/>
          <w:sz w:val="24"/>
          <w:szCs w:val="24"/>
          <w:lang w:val="en-US"/>
        </w:rPr>
        <w:t xml:space="preserve"> of consolidation is as follows:</w:t>
      </w:r>
    </w:p>
    <w:p w:rsidR="00B10349" w:rsidRPr="00ED4EFF" w:rsidRDefault="00B10349" w:rsidP="00B10349">
      <w:pPr>
        <w:jc w:val="center"/>
        <w:rPr>
          <w:rFonts w:asciiTheme="majorHAnsi" w:hAnsiTheme="majorHAnsi"/>
          <w:sz w:val="24"/>
          <w:szCs w:val="24"/>
          <w:lang w:val="en-US"/>
        </w:rPr>
      </w:pPr>
      <w:r w:rsidRPr="00ED4EFF">
        <w:rPr>
          <w:rFonts w:asciiTheme="majorHAnsi" w:hAnsiTheme="majorHAnsi"/>
          <w:noProof/>
        </w:rPr>
        <w:drawing>
          <wp:inline distT="0" distB="0" distL="0" distR="0" wp14:anchorId="3A9628FA" wp14:editId="2DAED451">
            <wp:extent cx="783590" cy="348615"/>
            <wp:effectExtent l="0" t="0" r="0" b="0"/>
            <wp:docPr id="2" name="Resim 2" descr="http://environment.uwe.ac.uk/geocal/SoilMech/consol/pics/qconsm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vironment.uwe.ac.uk/geocal/SoilMech/consol/pics/qconsmo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590" cy="348615"/>
                    </a:xfrm>
                    <a:prstGeom prst="rect">
                      <a:avLst/>
                    </a:prstGeom>
                    <a:noFill/>
                    <a:ln>
                      <a:noFill/>
                    </a:ln>
                  </pic:spPr>
                </pic:pic>
              </a:graphicData>
            </a:graphic>
          </wp:inline>
        </w:drawing>
      </w:r>
    </w:p>
    <w:p w:rsidR="00B10349" w:rsidRPr="00ED4EFF" w:rsidRDefault="00B10349" w:rsidP="00B10349">
      <w:pPr>
        <w:pStyle w:val="Balk2"/>
        <w:spacing w:line="360" w:lineRule="auto"/>
      </w:pPr>
      <w:r w:rsidRPr="00ED4EFF">
        <w:t>Procedure (Method of Test)</w:t>
      </w:r>
    </w:p>
    <w:p w:rsidR="00B10349" w:rsidRPr="00ED4EFF" w:rsidRDefault="00B10349" w:rsidP="00B10349">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 xml:space="preserve">Weigh the </w:t>
      </w:r>
      <w:proofErr w:type="spellStart"/>
      <w:r w:rsidRPr="00ED4EFF">
        <w:rPr>
          <w:rFonts w:asciiTheme="majorHAnsi" w:hAnsiTheme="majorHAnsi"/>
          <w:sz w:val="24"/>
          <w:szCs w:val="24"/>
          <w:lang w:val="en-US"/>
        </w:rPr>
        <w:t>consolidometer</w:t>
      </w:r>
      <w:proofErr w:type="spellEnd"/>
      <w:r w:rsidRPr="00ED4EFF">
        <w:rPr>
          <w:rFonts w:asciiTheme="majorHAnsi" w:hAnsiTheme="majorHAnsi"/>
          <w:sz w:val="24"/>
          <w:szCs w:val="24"/>
          <w:lang w:val="en-US"/>
        </w:rPr>
        <w:t xml:space="preserve"> ring and measure its depth and internal diameter, entering these values in Data Sheet 1. Then </w:t>
      </w:r>
      <w:proofErr w:type="spellStart"/>
      <w:r w:rsidRPr="00ED4EFF">
        <w:rPr>
          <w:rFonts w:asciiTheme="majorHAnsi" w:hAnsiTheme="majorHAnsi"/>
          <w:sz w:val="24"/>
          <w:szCs w:val="24"/>
          <w:lang w:val="en-US"/>
        </w:rPr>
        <w:t>exract</w:t>
      </w:r>
      <w:proofErr w:type="spellEnd"/>
      <w:r w:rsidRPr="00ED4EFF">
        <w:rPr>
          <w:rFonts w:asciiTheme="majorHAnsi" w:hAnsiTheme="majorHAnsi"/>
          <w:sz w:val="24"/>
          <w:szCs w:val="24"/>
          <w:lang w:val="en-US"/>
        </w:rPr>
        <w:t xml:space="preserve"> a specimen by driving a special, thin-walled ring( with the over-drive piece attached) into the undisturbed soil sample, and trim the ends as follows:</w:t>
      </w:r>
    </w:p>
    <w:p w:rsidR="00B10349" w:rsidRPr="00ED4EFF" w:rsidRDefault="00B10349" w:rsidP="00B10349">
      <w:pPr>
        <w:pStyle w:val="ListeParagraf"/>
        <w:numPr>
          <w:ilvl w:val="0"/>
          <w:numId w:val="5"/>
        </w:numPr>
        <w:jc w:val="both"/>
        <w:rPr>
          <w:rFonts w:asciiTheme="majorHAnsi" w:hAnsiTheme="majorHAnsi"/>
          <w:sz w:val="24"/>
          <w:szCs w:val="24"/>
          <w:lang w:val="en-US"/>
        </w:rPr>
      </w:pPr>
      <w:r w:rsidRPr="00ED4EFF">
        <w:rPr>
          <w:rFonts w:asciiTheme="majorHAnsi" w:hAnsiTheme="majorHAnsi"/>
          <w:sz w:val="24"/>
          <w:szCs w:val="24"/>
          <w:lang w:val="en-US"/>
        </w:rPr>
        <w:t>For the</w:t>
      </w:r>
      <w:r w:rsidR="005A0F87" w:rsidRPr="00ED4EFF">
        <w:rPr>
          <w:rFonts w:asciiTheme="majorHAnsi" w:hAnsiTheme="majorHAnsi"/>
          <w:sz w:val="24"/>
          <w:szCs w:val="24"/>
          <w:lang w:val="en-US"/>
        </w:rPr>
        <w:t xml:space="preserve"> </w:t>
      </w:r>
      <w:proofErr w:type="spellStart"/>
      <w:r w:rsidR="005A0F87" w:rsidRPr="00ED4EFF">
        <w:rPr>
          <w:rFonts w:asciiTheme="majorHAnsi" w:hAnsiTheme="majorHAnsi"/>
          <w:sz w:val="24"/>
          <w:szCs w:val="24"/>
          <w:lang w:val="en-US"/>
        </w:rPr>
        <w:t>consolidometer</w:t>
      </w:r>
      <w:proofErr w:type="spellEnd"/>
      <w:r w:rsidR="005A0F87" w:rsidRPr="00ED4EFF">
        <w:rPr>
          <w:rFonts w:asciiTheme="majorHAnsi" w:hAnsiTheme="majorHAnsi"/>
          <w:sz w:val="24"/>
          <w:szCs w:val="24"/>
          <w:lang w:val="en-US"/>
        </w:rPr>
        <w:t xml:space="preserve"> of </w:t>
      </w:r>
      <w:proofErr w:type="spellStart"/>
      <w:r w:rsidR="005A0F87" w:rsidRPr="00ED4EFF">
        <w:rPr>
          <w:rFonts w:asciiTheme="majorHAnsi" w:hAnsiTheme="majorHAnsi"/>
          <w:sz w:val="24"/>
          <w:szCs w:val="24"/>
          <w:lang w:val="en-US"/>
        </w:rPr>
        <w:t>Soiltest</w:t>
      </w:r>
      <w:proofErr w:type="spellEnd"/>
      <w:r w:rsidR="005A0F87" w:rsidRPr="00ED4EFF">
        <w:rPr>
          <w:rFonts w:asciiTheme="majorHAnsi" w:hAnsiTheme="majorHAnsi"/>
          <w:sz w:val="24"/>
          <w:szCs w:val="24"/>
          <w:lang w:val="en-US"/>
        </w:rPr>
        <w:t xml:space="preserve">, the thickness of the specimen should be slightly less than the depth of the ring in order to accommodate the porous stone. While the specimen is still in the thin-walled ring, trim one end; then, using the extruder, push the specimen through the ring for a few millimeters and cut the other end flush with the edge of the ring. Measure the height of the specimen, and transfer it into the </w:t>
      </w:r>
      <w:proofErr w:type="spellStart"/>
      <w:r w:rsidR="005A0F87" w:rsidRPr="00ED4EFF">
        <w:rPr>
          <w:rFonts w:asciiTheme="majorHAnsi" w:hAnsiTheme="majorHAnsi"/>
          <w:sz w:val="24"/>
          <w:szCs w:val="24"/>
          <w:lang w:val="en-US"/>
        </w:rPr>
        <w:t>consolidometer</w:t>
      </w:r>
      <w:proofErr w:type="spellEnd"/>
      <w:r w:rsidR="005A0F87" w:rsidRPr="00ED4EFF">
        <w:rPr>
          <w:rFonts w:asciiTheme="majorHAnsi" w:hAnsiTheme="majorHAnsi"/>
          <w:sz w:val="24"/>
          <w:szCs w:val="24"/>
          <w:lang w:val="en-US"/>
        </w:rPr>
        <w:t xml:space="preserve"> ring.</w:t>
      </w:r>
    </w:p>
    <w:p w:rsidR="005A0F87" w:rsidRPr="00ED4EFF" w:rsidRDefault="005A0F87" w:rsidP="00B10349">
      <w:pPr>
        <w:pStyle w:val="ListeParagraf"/>
        <w:numPr>
          <w:ilvl w:val="0"/>
          <w:numId w:val="5"/>
        </w:numPr>
        <w:jc w:val="both"/>
        <w:rPr>
          <w:rFonts w:asciiTheme="majorHAnsi" w:hAnsiTheme="majorHAnsi"/>
          <w:sz w:val="24"/>
          <w:szCs w:val="24"/>
          <w:lang w:val="en-US"/>
        </w:rPr>
      </w:pPr>
      <w:r w:rsidRPr="00ED4EFF">
        <w:rPr>
          <w:rFonts w:asciiTheme="majorHAnsi" w:hAnsiTheme="majorHAnsi"/>
          <w:sz w:val="24"/>
          <w:szCs w:val="24"/>
          <w:lang w:val="en-US"/>
        </w:rPr>
        <w:lastRenderedPageBreak/>
        <w:t xml:space="preserve">For the </w:t>
      </w:r>
      <w:proofErr w:type="spellStart"/>
      <w:r w:rsidRPr="00ED4EFF">
        <w:rPr>
          <w:rFonts w:asciiTheme="majorHAnsi" w:hAnsiTheme="majorHAnsi"/>
          <w:sz w:val="24"/>
          <w:szCs w:val="24"/>
          <w:lang w:val="en-US"/>
        </w:rPr>
        <w:t>consolidometer</w:t>
      </w:r>
      <w:proofErr w:type="spellEnd"/>
      <w:r w:rsidRPr="00ED4EFF">
        <w:rPr>
          <w:rFonts w:asciiTheme="majorHAnsi" w:hAnsiTheme="majorHAnsi"/>
          <w:sz w:val="24"/>
          <w:szCs w:val="24"/>
          <w:lang w:val="en-US"/>
        </w:rPr>
        <w:t xml:space="preserve"> of the Karol-Warner Inc.</w:t>
      </w:r>
      <w:r w:rsidR="001646FB" w:rsidRPr="00ED4EFF">
        <w:rPr>
          <w:rFonts w:asciiTheme="majorHAnsi" w:hAnsiTheme="majorHAnsi"/>
          <w:sz w:val="24"/>
          <w:szCs w:val="24"/>
          <w:lang w:val="en-US"/>
        </w:rPr>
        <w:t>, there</w:t>
      </w:r>
      <w:r w:rsidRPr="00ED4EFF">
        <w:rPr>
          <w:rFonts w:asciiTheme="majorHAnsi" w:hAnsiTheme="majorHAnsi"/>
          <w:sz w:val="24"/>
          <w:szCs w:val="24"/>
          <w:lang w:val="en-US"/>
        </w:rPr>
        <w:t xml:space="preserve"> is no need for such a clearance. The specimen is therefore transferred into the </w:t>
      </w:r>
      <w:proofErr w:type="spellStart"/>
      <w:r w:rsidRPr="00ED4EFF">
        <w:rPr>
          <w:rFonts w:asciiTheme="majorHAnsi" w:hAnsiTheme="majorHAnsi"/>
          <w:sz w:val="24"/>
          <w:szCs w:val="24"/>
          <w:lang w:val="en-US"/>
        </w:rPr>
        <w:t>consolidometer</w:t>
      </w:r>
      <w:proofErr w:type="spellEnd"/>
      <w:r w:rsidRPr="00ED4EFF">
        <w:rPr>
          <w:rFonts w:asciiTheme="majorHAnsi" w:hAnsiTheme="majorHAnsi"/>
          <w:sz w:val="24"/>
          <w:szCs w:val="24"/>
          <w:lang w:val="en-US"/>
        </w:rPr>
        <w:t xml:space="preserve"> ring and the ends trimmed flush with the ends of this ring. Measure the height of specimen.</w:t>
      </w:r>
    </w:p>
    <w:p w:rsidR="005A0F87" w:rsidRPr="00ED4EFF" w:rsidRDefault="005A0F87" w:rsidP="005A0F87">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Take samples for the determination of the specific gravity of the soil.</w:t>
      </w:r>
    </w:p>
    <w:p w:rsidR="005A0F87" w:rsidRPr="00ED4EFF" w:rsidRDefault="005A0F87" w:rsidP="005A0F87">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 xml:space="preserve">Place the specimen with its ring in an </w:t>
      </w:r>
      <w:proofErr w:type="spellStart"/>
      <w:r w:rsidRPr="00ED4EFF">
        <w:rPr>
          <w:rFonts w:asciiTheme="majorHAnsi" w:hAnsiTheme="majorHAnsi"/>
          <w:sz w:val="24"/>
          <w:szCs w:val="24"/>
          <w:lang w:val="en-US"/>
        </w:rPr>
        <w:t>evaropating</w:t>
      </w:r>
      <w:proofErr w:type="spellEnd"/>
      <w:r w:rsidRPr="00ED4EFF">
        <w:rPr>
          <w:rFonts w:asciiTheme="majorHAnsi" w:hAnsiTheme="majorHAnsi"/>
          <w:sz w:val="24"/>
          <w:szCs w:val="24"/>
          <w:lang w:val="en-US"/>
        </w:rPr>
        <w:t xml:space="preserve"> dish and weigh.</w:t>
      </w:r>
    </w:p>
    <w:p w:rsidR="005A0F87" w:rsidRPr="00ED4EFF" w:rsidRDefault="005A0F87" w:rsidP="005A0F87">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With filter paper discs placed on top and bottom of the specimen, assemble the ring in the consolidation cell and mount this on the loading device.</w:t>
      </w:r>
    </w:p>
    <w:p w:rsidR="005A0F87" w:rsidRPr="00ED4EFF" w:rsidRDefault="005A0F87" w:rsidP="005A0F87">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Adjust the deflection dial to give sufficient travel under the proposed increment of the load, and to record a small amount of swelling.</w:t>
      </w:r>
    </w:p>
    <w:p w:rsidR="005A0F87" w:rsidRPr="00ED4EFF" w:rsidRDefault="005A0F87" w:rsidP="005A0F87">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Loading sequence</w:t>
      </w:r>
    </w:p>
    <w:p w:rsidR="005A0F87" w:rsidRPr="00ED4EFF" w:rsidRDefault="005A0F87" w:rsidP="005A0F87">
      <w:pPr>
        <w:pStyle w:val="ListeParagraf"/>
        <w:numPr>
          <w:ilvl w:val="0"/>
          <w:numId w:val="6"/>
        </w:numPr>
        <w:jc w:val="both"/>
        <w:rPr>
          <w:rFonts w:asciiTheme="majorHAnsi" w:hAnsiTheme="majorHAnsi"/>
          <w:sz w:val="24"/>
          <w:szCs w:val="24"/>
          <w:lang w:val="en-US"/>
        </w:rPr>
      </w:pPr>
      <w:r w:rsidRPr="00ED4EFF">
        <w:rPr>
          <w:rFonts w:asciiTheme="majorHAnsi" w:hAnsiTheme="majorHAnsi"/>
          <w:sz w:val="24"/>
          <w:szCs w:val="24"/>
          <w:lang w:val="en-US"/>
        </w:rPr>
        <w:t>Select the sequence of loading to be followed from the following range of pressures (</w:t>
      </w:r>
      <w:proofErr w:type="spellStart"/>
      <w:r w:rsidRPr="00ED4EFF">
        <w:rPr>
          <w:rFonts w:asciiTheme="majorHAnsi" w:hAnsiTheme="majorHAnsi"/>
          <w:sz w:val="24"/>
          <w:szCs w:val="24"/>
          <w:lang w:val="en-US"/>
        </w:rPr>
        <w:t>kPa</w:t>
      </w:r>
      <w:proofErr w:type="spellEnd"/>
      <w:r w:rsidRPr="00ED4EFF">
        <w:rPr>
          <w:rFonts w:asciiTheme="majorHAnsi" w:hAnsiTheme="majorHAnsi"/>
          <w:sz w:val="24"/>
          <w:szCs w:val="24"/>
          <w:lang w:val="en-US"/>
        </w:rPr>
        <w:t>):</w:t>
      </w:r>
    </w:p>
    <w:p w:rsidR="005A0F87" w:rsidRPr="00ED4EFF" w:rsidRDefault="005A0F87" w:rsidP="005A0F87">
      <w:pPr>
        <w:pStyle w:val="ListeParagraf"/>
        <w:ind w:left="1080"/>
        <w:jc w:val="both"/>
        <w:rPr>
          <w:rFonts w:asciiTheme="majorHAnsi" w:hAnsiTheme="majorHAnsi"/>
          <w:sz w:val="24"/>
          <w:szCs w:val="24"/>
          <w:lang w:val="en-US"/>
        </w:rPr>
      </w:pPr>
      <w:r w:rsidRPr="00ED4EFF">
        <w:rPr>
          <w:rFonts w:asciiTheme="majorHAnsi" w:hAnsiTheme="majorHAnsi"/>
          <w:sz w:val="24"/>
          <w:szCs w:val="24"/>
          <w:lang w:val="en-US"/>
        </w:rPr>
        <w:t>10, 25, 50, 100, 200, 400, 800, 1600, 3200.</w:t>
      </w:r>
      <w:r w:rsidR="001646FB" w:rsidRPr="00ED4EFF">
        <w:rPr>
          <w:rFonts w:asciiTheme="majorHAnsi" w:hAnsiTheme="majorHAnsi"/>
          <w:sz w:val="24"/>
          <w:szCs w:val="24"/>
          <w:lang w:val="en-US"/>
        </w:rPr>
        <w:t xml:space="preserve"> The initial pressure to be applied should be large enough to prevent swelling of the specimen; this should be around the effective overburden pressure at the depth from which the sample was taken for stiff clays, and as low as 10kPa for very soft clays.</w:t>
      </w:r>
    </w:p>
    <w:p w:rsidR="001646FB" w:rsidRPr="00ED4EFF" w:rsidRDefault="001646FB" w:rsidP="001646FB">
      <w:pPr>
        <w:pStyle w:val="ListeParagraf"/>
        <w:numPr>
          <w:ilvl w:val="0"/>
          <w:numId w:val="6"/>
        </w:numPr>
        <w:jc w:val="both"/>
        <w:rPr>
          <w:rFonts w:asciiTheme="majorHAnsi" w:hAnsiTheme="majorHAnsi"/>
          <w:sz w:val="24"/>
          <w:szCs w:val="24"/>
          <w:lang w:val="en-US"/>
        </w:rPr>
      </w:pPr>
      <w:r w:rsidRPr="00ED4EFF">
        <w:rPr>
          <w:rFonts w:asciiTheme="majorHAnsi" w:hAnsiTheme="majorHAnsi"/>
          <w:sz w:val="24"/>
          <w:szCs w:val="24"/>
          <w:lang w:val="en-US"/>
        </w:rPr>
        <w:t>Having recorded the initial dial reading, apply the initial pressure selected above, and instantaneously start the stopwatch.</w:t>
      </w:r>
    </w:p>
    <w:p w:rsidR="001646FB" w:rsidRPr="00ED4EFF" w:rsidRDefault="001646FB" w:rsidP="001646FB">
      <w:pPr>
        <w:pStyle w:val="ListeParagraf"/>
        <w:numPr>
          <w:ilvl w:val="0"/>
          <w:numId w:val="6"/>
        </w:numPr>
        <w:jc w:val="both"/>
        <w:rPr>
          <w:rFonts w:asciiTheme="majorHAnsi" w:hAnsiTheme="majorHAnsi"/>
          <w:sz w:val="24"/>
          <w:szCs w:val="24"/>
          <w:lang w:val="en-US"/>
        </w:rPr>
      </w:pPr>
      <w:r w:rsidRPr="00ED4EFF">
        <w:rPr>
          <w:rFonts w:asciiTheme="majorHAnsi" w:hAnsiTheme="majorHAnsi"/>
          <w:sz w:val="24"/>
          <w:szCs w:val="24"/>
          <w:lang w:val="en-US"/>
        </w:rPr>
        <w:t>Use an adequate number of stages of loading( not less than 4), ensuring that the maximum pressure on the specimen is greater than the effective pressure expected in situ due to the overburden and the proposed structure.</w:t>
      </w:r>
    </w:p>
    <w:p w:rsidR="006C4964" w:rsidRPr="00ED4EFF" w:rsidRDefault="006C4964" w:rsidP="006C4964">
      <w:pPr>
        <w:pStyle w:val="ListeParagraf"/>
        <w:numPr>
          <w:ilvl w:val="0"/>
          <w:numId w:val="4"/>
        </w:numPr>
        <w:jc w:val="both"/>
        <w:rPr>
          <w:rFonts w:asciiTheme="majorHAnsi" w:hAnsiTheme="majorHAnsi"/>
          <w:sz w:val="24"/>
          <w:szCs w:val="24"/>
          <w:lang w:val="en-US"/>
        </w:rPr>
      </w:pPr>
      <w:r w:rsidRPr="00ED4EFF">
        <w:rPr>
          <w:rFonts w:asciiTheme="majorHAnsi" w:hAnsiTheme="majorHAnsi"/>
          <w:sz w:val="24"/>
          <w:szCs w:val="24"/>
          <w:lang w:val="en-US"/>
        </w:rPr>
        <w:t>Unloading</w:t>
      </w:r>
    </w:p>
    <w:p w:rsidR="006C4964" w:rsidRPr="00ED4EFF" w:rsidRDefault="006C4964" w:rsidP="006C4964">
      <w:pPr>
        <w:pStyle w:val="ListeParagraf"/>
        <w:numPr>
          <w:ilvl w:val="0"/>
          <w:numId w:val="7"/>
        </w:numPr>
        <w:jc w:val="both"/>
        <w:rPr>
          <w:rFonts w:asciiTheme="majorHAnsi" w:hAnsiTheme="majorHAnsi"/>
          <w:sz w:val="24"/>
          <w:szCs w:val="24"/>
          <w:lang w:val="en-US"/>
        </w:rPr>
      </w:pPr>
      <w:r w:rsidRPr="00ED4EFF">
        <w:rPr>
          <w:rFonts w:asciiTheme="majorHAnsi" w:hAnsiTheme="majorHAnsi"/>
          <w:sz w:val="24"/>
          <w:szCs w:val="24"/>
          <w:lang w:val="en-US"/>
        </w:rPr>
        <w:t>After completing the readings under the maximum applied pressure, decrease the pressure to a quarter of the maximum pressure, and then to 10kPa, leaving each pressure on for at least 4 hours.</w:t>
      </w:r>
    </w:p>
    <w:p w:rsidR="006C4964" w:rsidRPr="00ED4EFF" w:rsidRDefault="006C4964" w:rsidP="006C4964">
      <w:pPr>
        <w:pStyle w:val="ListeParagraf"/>
        <w:numPr>
          <w:ilvl w:val="0"/>
          <w:numId w:val="7"/>
        </w:numPr>
        <w:jc w:val="both"/>
        <w:rPr>
          <w:rFonts w:asciiTheme="majorHAnsi" w:hAnsiTheme="majorHAnsi"/>
          <w:sz w:val="24"/>
          <w:szCs w:val="24"/>
          <w:lang w:val="en-US"/>
        </w:rPr>
      </w:pPr>
      <w:r w:rsidRPr="00ED4EFF">
        <w:rPr>
          <w:rFonts w:asciiTheme="majorHAnsi" w:hAnsiTheme="majorHAnsi"/>
          <w:sz w:val="24"/>
          <w:szCs w:val="24"/>
          <w:lang w:val="en-US"/>
        </w:rPr>
        <w:t>After taking the final reading under the 10kPa pressure, quickly dismantle the apparatus. Remove the filter papers, dry the excess water on the surface of the specimen, and weigh the specimen while still inside the ring.</w:t>
      </w:r>
    </w:p>
    <w:p w:rsidR="006C4964" w:rsidRPr="00ED4EFF" w:rsidRDefault="006C4964" w:rsidP="006C4964">
      <w:pPr>
        <w:pStyle w:val="ListeParagraf"/>
        <w:numPr>
          <w:ilvl w:val="0"/>
          <w:numId w:val="7"/>
        </w:numPr>
        <w:jc w:val="both"/>
        <w:rPr>
          <w:rFonts w:asciiTheme="majorHAnsi" w:hAnsiTheme="majorHAnsi"/>
          <w:sz w:val="24"/>
          <w:szCs w:val="24"/>
          <w:lang w:val="en-US"/>
        </w:rPr>
      </w:pPr>
      <w:r w:rsidRPr="00ED4EFF">
        <w:rPr>
          <w:rFonts w:asciiTheme="majorHAnsi" w:hAnsiTheme="majorHAnsi"/>
          <w:sz w:val="24"/>
          <w:szCs w:val="24"/>
          <w:lang w:val="en-US"/>
        </w:rPr>
        <w:t>Place the specimen and ring in an evaporating dish and dry in the oven to constant weight.</w:t>
      </w:r>
    </w:p>
    <w:p w:rsidR="007F7D7B" w:rsidRPr="00ED4EFF" w:rsidRDefault="007F7D7B" w:rsidP="00F46CA7">
      <w:pPr>
        <w:pStyle w:val="Balk2"/>
        <w:spacing w:line="360" w:lineRule="auto"/>
      </w:pPr>
    </w:p>
    <w:p w:rsidR="007F7D7B" w:rsidRPr="00ED4EFF" w:rsidRDefault="007F7D7B" w:rsidP="00F46CA7">
      <w:pPr>
        <w:pStyle w:val="Balk2"/>
        <w:spacing w:line="360" w:lineRule="auto"/>
      </w:pPr>
    </w:p>
    <w:p w:rsidR="007F7D7B" w:rsidRPr="00ED4EFF" w:rsidRDefault="007F7D7B" w:rsidP="00F46CA7">
      <w:pPr>
        <w:pStyle w:val="Balk2"/>
        <w:spacing w:line="360" w:lineRule="auto"/>
      </w:pPr>
    </w:p>
    <w:p w:rsidR="007F7D7B" w:rsidRPr="00ED4EFF" w:rsidRDefault="007F7D7B" w:rsidP="00F46CA7">
      <w:pPr>
        <w:pStyle w:val="Balk2"/>
        <w:spacing w:line="360" w:lineRule="auto"/>
      </w:pPr>
    </w:p>
    <w:p w:rsidR="007F7D7B" w:rsidRPr="00ED4EFF" w:rsidRDefault="007F7D7B" w:rsidP="00F46CA7">
      <w:pPr>
        <w:pStyle w:val="Balk2"/>
        <w:spacing w:line="360" w:lineRule="auto"/>
      </w:pPr>
    </w:p>
    <w:p w:rsidR="00F46CA7" w:rsidRPr="00ED4EFF" w:rsidRDefault="001260E8" w:rsidP="00F46CA7">
      <w:pPr>
        <w:pStyle w:val="Balk2"/>
        <w:spacing w:line="360" w:lineRule="auto"/>
      </w:pPr>
      <w:r w:rsidRPr="00ED4EFF">
        <w:t>Calculations</w:t>
      </w:r>
    </w:p>
    <w:p w:rsidR="00F46CA7" w:rsidRPr="00ED4EFF" w:rsidRDefault="00F46CA7" w:rsidP="00F46CA7">
      <w:pPr>
        <w:jc w:val="both"/>
        <w:rPr>
          <w:rFonts w:asciiTheme="majorHAnsi" w:hAnsiTheme="majorHAnsi"/>
          <w:sz w:val="24"/>
          <w:szCs w:val="24"/>
        </w:rPr>
      </w:pPr>
      <w:r w:rsidRPr="00ED4EFF">
        <w:rPr>
          <w:rFonts w:asciiTheme="majorHAnsi" w:hAnsiTheme="majorHAnsi"/>
          <w:sz w:val="24"/>
          <w:szCs w:val="24"/>
        </w:rPr>
        <w:t>The dial gage readings against the square root of time:</w:t>
      </w:r>
    </w:p>
    <w:p w:rsidR="007F7D7B" w:rsidRPr="00ED4EFF" w:rsidRDefault="007F7D7B" w:rsidP="00F46CA7">
      <w:pPr>
        <w:rPr>
          <w:rFonts w:asciiTheme="majorHAnsi" w:hAnsiTheme="majorHAnsi"/>
        </w:rPr>
      </w:pPr>
    </w:p>
    <w:p w:rsidR="00F46CA7" w:rsidRPr="00ED4EFF" w:rsidRDefault="00F46CA7" w:rsidP="00F46CA7">
      <w:pPr>
        <w:rPr>
          <w:rFonts w:asciiTheme="majorHAnsi" w:hAnsiTheme="majorHAnsi"/>
        </w:rPr>
      </w:pPr>
      <w:r w:rsidRPr="00ED4EFF">
        <w:rPr>
          <w:rFonts w:asciiTheme="majorHAnsi" w:hAnsiTheme="majorHAnsi"/>
          <w:noProof/>
        </w:rPr>
        <w:drawing>
          <wp:inline distT="0" distB="0" distL="0" distR="0" wp14:anchorId="2713E492" wp14:editId="413470E8">
            <wp:extent cx="5760720" cy="4178368"/>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F7D7B" w:rsidRPr="00ED4EFF" w:rsidRDefault="00F46CA7" w:rsidP="00F46CA7">
      <w:pPr>
        <w:rPr>
          <w:rFonts w:asciiTheme="majorHAnsi" w:hAnsiTheme="majorHAnsi"/>
        </w:rPr>
      </w:pPr>
      <w:r w:rsidRPr="00ED4EFF">
        <w:rPr>
          <w:rFonts w:asciiTheme="majorHAnsi" w:hAnsiTheme="majorHAnsi"/>
          <w:noProof/>
        </w:rPr>
        <w:lastRenderedPageBreak/>
        <w:drawing>
          <wp:inline distT="0" distB="0" distL="0" distR="0" wp14:anchorId="13DC5325" wp14:editId="066E6446">
            <wp:extent cx="5760720" cy="4178368"/>
            <wp:effectExtent l="0" t="0" r="1143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7D7B" w:rsidRPr="00ED4EFF" w:rsidRDefault="007F7D7B" w:rsidP="00F46CA7">
      <w:pPr>
        <w:rPr>
          <w:rFonts w:asciiTheme="majorHAnsi" w:hAnsiTheme="majorHAnsi"/>
        </w:rPr>
      </w:pPr>
    </w:p>
    <w:p w:rsidR="00F46CA7" w:rsidRPr="00ED4EFF" w:rsidRDefault="00F46CA7" w:rsidP="00F46CA7">
      <w:pPr>
        <w:rPr>
          <w:rFonts w:asciiTheme="majorHAnsi" w:hAnsiTheme="majorHAnsi"/>
        </w:rPr>
      </w:pPr>
      <w:r w:rsidRPr="00ED4EFF">
        <w:rPr>
          <w:rFonts w:asciiTheme="majorHAnsi" w:hAnsiTheme="majorHAnsi"/>
          <w:noProof/>
        </w:rPr>
        <w:drawing>
          <wp:inline distT="0" distB="0" distL="0" distR="0" wp14:anchorId="54097CE3" wp14:editId="0B08F7CB">
            <wp:extent cx="5760720" cy="4178368"/>
            <wp:effectExtent l="0" t="0" r="1143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0783" w:rsidRDefault="00060783" w:rsidP="00B62D21">
      <w:pPr>
        <w:pStyle w:val="Balk3"/>
      </w:pPr>
      <w:r>
        <w:lastRenderedPageBreak/>
        <w:t>Data sheet1;</w:t>
      </w:r>
    </w:p>
    <w:p w:rsidR="00060783" w:rsidRDefault="00060783" w:rsidP="00060783">
      <w:r>
        <w:t>Equivalent height of solids;</w:t>
      </w:r>
    </w:p>
    <w:p w:rsidR="00060783" w:rsidRPr="00060783" w:rsidRDefault="00060783" w:rsidP="00060783">
      <w:r>
        <w:t>2H</w:t>
      </w:r>
      <w:r>
        <w:rPr>
          <w:vertAlign w:val="subscript"/>
        </w:rPr>
        <w:t>0</w:t>
      </w:r>
      <w:r>
        <w:t>=M</w:t>
      </w:r>
      <w:r>
        <w:rPr>
          <w:vertAlign w:val="subscript"/>
        </w:rPr>
        <w:t>S</w:t>
      </w:r>
      <w:r>
        <w:t>/(G</w:t>
      </w:r>
      <w:r>
        <w:rPr>
          <w:vertAlign w:val="subscript"/>
        </w:rPr>
        <w:t>S</w:t>
      </w:r>
      <w:r>
        <w:t xml:space="preserve">*A)=1.445 cm= 14.45 mm </w:t>
      </w:r>
    </w:p>
    <w:p w:rsidR="00B62D21" w:rsidRDefault="00B62D21" w:rsidP="00B62D21">
      <w:pPr>
        <w:pStyle w:val="Balk3"/>
      </w:pPr>
      <w:r>
        <w:t>Data sheet 3;</w:t>
      </w:r>
    </w:p>
    <w:p w:rsidR="00B62D21" w:rsidRDefault="00B62D21" w:rsidP="00B62D21">
      <w:r w:rsidRPr="00B62D21">
        <w:rPr>
          <w:b/>
          <w:u w:val="single"/>
        </w:rPr>
        <w:t>For 50kpa</w:t>
      </w:r>
      <w:r>
        <w:t xml:space="preserve"> ; </w:t>
      </w:r>
    </w:p>
    <w:p w:rsidR="00B62D21" w:rsidRDefault="00B62D21" w:rsidP="00B62D21">
      <w:r>
        <w:t>Change in height of specimen;</w:t>
      </w:r>
    </w:p>
    <w:p w:rsidR="00B62D21" w:rsidRDefault="00B62D21" w:rsidP="00B62D21">
      <w:r>
        <w:t xml:space="preserve"> (4.92-4.4)*10^-2mm=0.52*10^-2 mm</w:t>
      </w:r>
    </w:p>
    <w:p w:rsidR="00B62D21" w:rsidRDefault="00B62D21" w:rsidP="00B62D21">
      <w:r>
        <w:t>Height of specimen 2H;</w:t>
      </w:r>
    </w:p>
    <w:p w:rsidR="00B62D21" w:rsidRDefault="00B62D21" w:rsidP="00B62D21">
      <w:r>
        <w:t>20mm-0.52*10^-2 mm=19.9948mm</w:t>
      </w:r>
    </w:p>
    <w:p w:rsidR="00060783" w:rsidRDefault="00060783" w:rsidP="00B62D21">
      <w:r>
        <w:t>Equivalent height of voids;</w:t>
      </w:r>
    </w:p>
    <w:p w:rsidR="00060783" w:rsidRDefault="00060783" w:rsidP="00B62D21">
      <w:r>
        <w:t>2H-2H</w:t>
      </w:r>
      <w:r>
        <w:rPr>
          <w:vertAlign w:val="subscript"/>
        </w:rPr>
        <w:t>0</w:t>
      </w:r>
      <w:r>
        <w:t>=5.55 mm</w:t>
      </w:r>
    </w:p>
    <w:p w:rsidR="00060783" w:rsidRDefault="00060783" w:rsidP="00B62D21">
      <w:r>
        <w:t>Void ratio,e;</w:t>
      </w:r>
    </w:p>
    <w:p w:rsidR="00060783" w:rsidRPr="00D26E80" w:rsidRDefault="00060783" w:rsidP="00B62D21">
      <w:r>
        <w:t>e=(2H-2H</w:t>
      </w:r>
      <w:r>
        <w:rPr>
          <w:vertAlign w:val="subscript"/>
        </w:rPr>
        <w:t>0</w:t>
      </w:r>
      <w:r>
        <w:t>)/</w:t>
      </w:r>
      <w:r w:rsidRPr="00060783">
        <w:t xml:space="preserve"> </w:t>
      </w:r>
      <w:r>
        <w:t>2H</w:t>
      </w:r>
      <w:r>
        <w:rPr>
          <w:vertAlign w:val="subscript"/>
        </w:rPr>
        <w:t>0</w:t>
      </w:r>
      <w:r w:rsidR="00D26E80">
        <w:t>=0.384</w:t>
      </w:r>
    </w:p>
    <w:p w:rsidR="00B62D21" w:rsidRDefault="00B62D21" w:rsidP="00B62D21"/>
    <w:p w:rsidR="00B62D21" w:rsidRPr="00B62D21" w:rsidRDefault="00B62D21" w:rsidP="00B62D21"/>
    <w:p w:rsidR="007F7D7B" w:rsidRPr="00ED4EFF" w:rsidRDefault="007F7D7B" w:rsidP="007F7D7B">
      <w:pPr>
        <w:pStyle w:val="Balk2"/>
        <w:spacing w:line="360" w:lineRule="auto"/>
      </w:pPr>
      <w:r w:rsidRPr="00ED4EFF">
        <w:t>Results</w:t>
      </w:r>
    </w:p>
    <w:p w:rsidR="007F7D7B" w:rsidRPr="00ED4EFF" w:rsidRDefault="007F7D7B" w:rsidP="007F7D7B">
      <w:pPr>
        <w:spacing w:line="360" w:lineRule="auto"/>
        <w:ind w:firstLine="720"/>
        <w:rPr>
          <w:rFonts w:asciiTheme="majorHAnsi" w:hAnsiTheme="majorHAnsi"/>
          <w:sz w:val="24"/>
          <w:szCs w:val="24"/>
          <w:lang w:val="en-US"/>
        </w:rPr>
      </w:pPr>
      <w:r w:rsidRPr="00ED4EFF">
        <w:rPr>
          <w:rFonts w:asciiTheme="majorHAnsi" w:hAnsiTheme="majorHAnsi"/>
          <w:sz w:val="24"/>
          <w:szCs w:val="24"/>
          <w:lang w:val="en-US"/>
        </w:rPr>
        <w:t>Results are given on the data sheet.</w:t>
      </w:r>
    </w:p>
    <w:p w:rsidR="007F7D7B" w:rsidRPr="00ED4EFF" w:rsidRDefault="007F7D7B" w:rsidP="007F7D7B">
      <w:pPr>
        <w:pStyle w:val="Balk2"/>
        <w:spacing w:line="360" w:lineRule="auto"/>
      </w:pPr>
      <w:r w:rsidRPr="00ED4EFF">
        <w:t>Discussion of Results</w:t>
      </w:r>
    </w:p>
    <w:p w:rsidR="007F7D7B" w:rsidRPr="00ED4EFF" w:rsidRDefault="007F7D7B" w:rsidP="00F46CA7">
      <w:pPr>
        <w:rPr>
          <w:rFonts w:asciiTheme="majorHAnsi" w:hAnsiTheme="majorHAnsi"/>
        </w:rPr>
      </w:pPr>
      <w:r w:rsidRPr="00ED4EFF">
        <w:rPr>
          <w:rFonts w:asciiTheme="majorHAnsi" w:hAnsiTheme="majorHAnsi"/>
        </w:rPr>
        <w:t xml:space="preserve">There may some errors such as human error or we use a computer to take the data from the experiment so there may be some  engineering problem due to the machines that were used. In real, the consolidation is very important issue for civil engineers, so this test must be done very carefully. </w:t>
      </w:r>
    </w:p>
    <w:p w:rsidR="007F7D7B" w:rsidRPr="00ED4EFF" w:rsidRDefault="007F7D7B" w:rsidP="007F7D7B">
      <w:pPr>
        <w:pStyle w:val="Balk2"/>
        <w:spacing w:line="360" w:lineRule="auto"/>
      </w:pPr>
      <w:r w:rsidRPr="00ED4EFF">
        <w:t>Conclusion</w:t>
      </w:r>
    </w:p>
    <w:p w:rsidR="007F7D7B" w:rsidRPr="00ED4EFF" w:rsidRDefault="007F7D7B" w:rsidP="00F46CA7">
      <w:pPr>
        <w:rPr>
          <w:rFonts w:asciiTheme="majorHAnsi" w:hAnsiTheme="majorHAnsi"/>
        </w:rPr>
      </w:pPr>
      <w:r w:rsidRPr="00ED4EFF">
        <w:rPr>
          <w:rFonts w:asciiTheme="majorHAnsi" w:hAnsiTheme="majorHAnsi"/>
        </w:rPr>
        <w:t>In this experiment, the relationship between time and the ef</w:t>
      </w:r>
      <w:r w:rsidR="00317CA7" w:rsidRPr="00ED4EFF">
        <w:rPr>
          <w:rFonts w:asciiTheme="majorHAnsi" w:hAnsiTheme="majorHAnsi"/>
        </w:rPr>
        <w:t xml:space="preserve">fective pressure is determined. We plotted three diagrams dial vs. </w:t>
      </w:r>
      <w:r w:rsidR="00ED4EFF" w:rsidRPr="00ED4EFF">
        <w:rPr>
          <w:rFonts w:asciiTheme="majorHAnsi" w:hAnsiTheme="majorHAnsi"/>
        </w:rPr>
        <w:t>s</w:t>
      </w:r>
      <w:r w:rsidR="00BB032C" w:rsidRPr="00ED4EFF">
        <w:rPr>
          <w:rFonts w:asciiTheme="majorHAnsi" w:hAnsiTheme="majorHAnsi"/>
        </w:rPr>
        <w:t>quare root of time</w:t>
      </w:r>
      <w:r w:rsidR="00ED4EFF" w:rsidRPr="00ED4EFF">
        <w:rPr>
          <w:rFonts w:asciiTheme="majorHAnsi" w:hAnsiTheme="majorHAnsi"/>
        </w:rPr>
        <w:t xml:space="preserve">, so that we obtained how the settlement occurs. This is very important to have some idea about the soil. </w:t>
      </w:r>
    </w:p>
    <w:p w:rsidR="00ED4EFF" w:rsidRPr="00ED4EFF" w:rsidRDefault="00ED4EFF" w:rsidP="00ED4EFF">
      <w:pPr>
        <w:pStyle w:val="Balk2"/>
        <w:spacing w:line="360" w:lineRule="auto"/>
        <w:rPr>
          <w:rStyle w:val="Balk2Char"/>
          <w:b/>
          <w:bCs/>
        </w:rPr>
      </w:pPr>
      <w:r w:rsidRPr="00ED4EFF">
        <w:t>References</w:t>
      </w:r>
    </w:p>
    <w:p w:rsidR="00ED4EFF" w:rsidRPr="00ED4EFF" w:rsidRDefault="00ED4EFF" w:rsidP="00ED4EFF">
      <w:pPr>
        <w:pStyle w:val="Standard"/>
        <w:numPr>
          <w:ilvl w:val="0"/>
          <w:numId w:val="8"/>
        </w:numPr>
        <w:spacing w:line="360" w:lineRule="auto"/>
        <w:jc w:val="both"/>
        <w:rPr>
          <w:rFonts w:asciiTheme="majorHAnsi" w:hAnsiTheme="majorHAnsi"/>
        </w:rPr>
      </w:pPr>
      <w:proofErr w:type="spellStart"/>
      <w:proofErr w:type="gramStart"/>
      <w:r w:rsidRPr="00ED4EFF">
        <w:rPr>
          <w:rFonts w:asciiTheme="majorHAnsi" w:hAnsiTheme="majorHAnsi"/>
        </w:rPr>
        <w:t>Mirata</w:t>
      </w:r>
      <w:proofErr w:type="spellEnd"/>
      <w:r w:rsidRPr="00ED4EFF">
        <w:rPr>
          <w:rFonts w:asciiTheme="majorHAnsi" w:hAnsiTheme="majorHAnsi"/>
        </w:rPr>
        <w:t xml:space="preserve"> ,T</w:t>
      </w:r>
      <w:proofErr w:type="gramEnd"/>
      <w:r w:rsidRPr="00ED4EFF">
        <w:rPr>
          <w:rFonts w:asciiTheme="majorHAnsi" w:hAnsiTheme="majorHAnsi"/>
        </w:rPr>
        <w:t>. (2009</w:t>
      </w:r>
      <w:r w:rsidRPr="00ED4EFF">
        <w:rPr>
          <w:rFonts w:asciiTheme="majorHAnsi" w:hAnsiTheme="majorHAnsi"/>
          <w:i/>
        </w:rPr>
        <w:t>). Laboratory Instructions for Soil Mechanics Students</w:t>
      </w:r>
    </w:p>
    <w:p w:rsidR="00ED4EFF" w:rsidRPr="00ED4EFF" w:rsidRDefault="00ED4EFF" w:rsidP="00F46CA7">
      <w:pPr>
        <w:rPr>
          <w:rFonts w:asciiTheme="majorHAnsi" w:hAnsiTheme="majorHAnsi"/>
        </w:rPr>
      </w:pPr>
    </w:p>
    <w:p w:rsidR="006C4964" w:rsidRPr="00ED4EFF" w:rsidRDefault="001260E8" w:rsidP="006C4964">
      <w:pPr>
        <w:ind w:left="720"/>
        <w:jc w:val="both"/>
        <w:rPr>
          <w:rFonts w:asciiTheme="majorHAnsi" w:hAnsiTheme="majorHAnsi"/>
          <w:sz w:val="24"/>
          <w:szCs w:val="24"/>
          <w:lang w:val="en-US"/>
        </w:rPr>
      </w:pPr>
      <w:r w:rsidRPr="00ED4EFF">
        <w:rPr>
          <w:rFonts w:asciiTheme="majorHAnsi" w:hAnsiTheme="majorHAnsi"/>
          <w:sz w:val="24"/>
          <w:szCs w:val="24"/>
          <w:lang w:val="en-US"/>
        </w:rPr>
        <w:t xml:space="preserve"> </w:t>
      </w:r>
    </w:p>
    <w:p w:rsidR="00B10349" w:rsidRPr="00ED4EFF" w:rsidRDefault="00B10349" w:rsidP="00B10349">
      <w:pPr>
        <w:jc w:val="center"/>
        <w:rPr>
          <w:rFonts w:asciiTheme="majorHAnsi" w:hAnsiTheme="majorHAnsi"/>
          <w:sz w:val="24"/>
          <w:szCs w:val="24"/>
          <w:lang w:val="en-US"/>
        </w:rPr>
      </w:pPr>
    </w:p>
    <w:p w:rsidR="00ED4EFF" w:rsidRPr="00ED4EFF" w:rsidRDefault="00ED4EFF">
      <w:pPr>
        <w:jc w:val="center"/>
        <w:rPr>
          <w:rFonts w:asciiTheme="majorHAnsi" w:hAnsiTheme="majorHAnsi"/>
          <w:sz w:val="24"/>
          <w:szCs w:val="24"/>
          <w:lang w:val="en-US"/>
        </w:rPr>
      </w:pPr>
    </w:p>
    <w:sectPr w:rsidR="00ED4EFF" w:rsidRPr="00ED4E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91AF5"/>
    <w:multiLevelType w:val="hybridMultilevel"/>
    <w:tmpl w:val="577A5A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1B47FE1"/>
    <w:multiLevelType w:val="hybridMultilevel"/>
    <w:tmpl w:val="0C90404E"/>
    <w:lvl w:ilvl="0" w:tplc="92F4446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37CC42CC"/>
    <w:multiLevelType w:val="hybridMultilevel"/>
    <w:tmpl w:val="3CDE88CE"/>
    <w:lvl w:ilvl="0" w:tplc="F508EB94">
      <w:numFmt w:val="bullet"/>
      <w:lvlText w:val="-"/>
      <w:lvlJc w:val="left"/>
      <w:pPr>
        <w:ind w:left="720" w:hanging="360"/>
      </w:pPr>
      <w:rPr>
        <w:rFonts w:ascii="Cambria" w:eastAsiaTheme="minorEastAsia" w:hAnsi="Cambr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82A684D"/>
    <w:multiLevelType w:val="hybridMultilevel"/>
    <w:tmpl w:val="EED6282A"/>
    <w:lvl w:ilvl="0" w:tplc="3BFA6660">
      <w:numFmt w:val="bullet"/>
      <w:lvlText w:val="-"/>
      <w:lvlJc w:val="left"/>
      <w:pPr>
        <w:ind w:left="720" w:hanging="360"/>
      </w:pPr>
      <w:rPr>
        <w:rFonts w:ascii="Cambria" w:eastAsiaTheme="minorEastAsia" w:hAnsi="Cambr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5212A1B"/>
    <w:multiLevelType w:val="hybridMultilevel"/>
    <w:tmpl w:val="AD260C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C6F51FB"/>
    <w:multiLevelType w:val="hybridMultilevel"/>
    <w:tmpl w:val="EFCCE70A"/>
    <w:lvl w:ilvl="0" w:tplc="A61C26B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6592634D"/>
    <w:multiLevelType w:val="hybridMultilevel"/>
    <w:tmpl w:val="DA6A9D3A"/>
    <w:lvl w:ilvl="0" w:tplc="843461F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7CA218DE"/>
    <w:multiLevelType w:val="hybridMultilevel"/>
    <w:tmpl w:val="8F26112C"/>
    <w:lvl w:ilvl="0" w:tplc="5CF0E974">
      <w:numFmt w:val="bullet"/>
      <w:lvlText w:val="-"/>
      <w:lvlJc w:val="left"/>
      <w:pPr>
        <w:ind w:left="720" w:hanging="360"/>
      </w:pPr>
      <w:rPr>
        <w:rFonts w:ascii="Cambria" w:eastAsiaTheme="minorEastAsia" w:hAnsi="Cambr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10"/>
    <w:rsid w:val="00060783"/>
    <w:rsid w:val="001260E8"/>
    <w:rsid w:val="001646FB"/>
    <w:rsid w:val="0020661B"/>
    <w:rsid w:val="00317CA7"/>
    <w:rsid w:val="00362ECF"/>
    <w:rsid w:val="005A0F87"/>
    <w:rsid w:val="006C4964"/>
    <w:rsid w:val="007F7D7B"/>
    <w:rsid w:val="00820E94"/>
    <w:rsid w:val="00B10349"/>
    <w:rsid w:val="00B613E4"/>
    <w:rsid w:val="00B62D21"/>
    <w:rsid w:val="00B91FE6"/>
    <w:rsid w:val="00BB032C"/>
    <w:rsid w:val="00CC2C6F"/>
    <w:rsid w:val="00D16110"/>
    <w:rsid w:val="00D26E80"/>
    <w:rsid w:val="00ED4EFF"/>
    <w:rsid w:val="00F14BFB"/>
    <w:rsid w:val="00F46C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4DAD8-030E-4003-A88E-F4864476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C6F"/>
    <w:rPr>
      <w:rFonts w:eastAsiaTheme="minorEastAsia" w:cs="Times New Roman"/>
      <w:lang w:eastAsia="tr-TR"/>
    </w:rPr>
  </w:style>
  <w:style w:type="paragraph" w:styleId="Balk1">
    <w:name w:val="heading 1"/>
    <w:basedOn w:val="Normal"/>
    <w:next w:val="Normal"/>
    <w:link w:val="Balk1Char"/>
    <w:uiPriority w:val="9"/>
    <w:qFormat/>
    <w:rsid w:val="00CC2C6F"/>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unhideWhenUsed/>
    <w:qFormat/>
    <w:rsid w:val="00CC2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B62D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2C6F"/>
    <w:rPr>
      <w:rFonts w:asciiTheme="majorHAnsi" w:eastAsiaTheme="majorEastAsia" w:hAnsiTheme="majorHAnsi" w:cs="Times New Roman"/>
      <w:b/>
      <w:bCs/>
      <w:kern w:val="32"/>
      <w:sz w:val="32"/>
      <w:szCs w:val="32"/>
      <w:lang w:eastAsia="tr-TR"/>
    </w:rPr>
  </w:style>
  <w:style w:type="character" w:customStyle="1" w:styleId="Balk2Char">
    <w:name w:val="Başlık 2 Char"/>
    <w:basedOn w:val="VarsaylanParagrafYazTipi"/>
    <w:link w:val="Balk2"/>
    <w:uiPriority w:val="9"/>
    <w:rsid w:val="00CC2C6F"/>
    <w:rPr>
      <w:rFonts w:asciiTheme="majorHAnsi" w:eastAsiaTheme="majorEastAsia" w:hAnsiTheme="majorHAnsi" w:cstheme="majorBidi"/>
      <w:b/>
      <w:bCs/>
      <w:color w:val="4F81BD" w:themeColor="accent1"/>
      <w:sz w:val="26"/>
      <w:szCs w:val="26"/>
      <w:lang w:eastAsia="tr-TR"/>
    </w:rPr>
  </w:style>
  <w:style w:type="paragraph" w:styleId="ListeParagraf">
    <w:name w:val="List Paragraph"/>
    <w:basedOn w:val="Normal"/>
    <w:uiPriority w:val="34"/>
    <w:qFormat/>
    <w:rsid w:val="00CC2C6F"/>
    <w:pPr>
      <w:ind w:left="720"/>
      <w:contextualSpacing/>
    </w:pPr>
  </w:style>
  <w:style w:type="paragraph" w:styleId="BalonMetni">
    <w:name w:val="Balloon Text"/>
    <w:basedOn w:val="Normal"/>
    <w:link w:val="BalonMetniChar"/>
    <w:uiPriority w:val="99"/>
    <w:semiHidden/>
    <w:unhideWhenUsed/>
    <w:rsid w:val="00362EC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62ECF"/>
    <w:rPr>
      <w:rFonts w:ascii="Tahoma" w:eastAsiaTheme="minorEastAsia" w:hAnsi="Tahoma" w:cs="Tahoma"/>
      <w:sz w:val="16"/>
      <w:szCs w:val="16"/>
      <w:lang w:eastAsia="tr-TR"/>
    </w:rPr>
  </w:style>
  <w:style w:type="character" w:styleId="Kpr">
    <w:name w:val="Hyperlink"/>
    <w:basedOn w:val="VarsaylanParagrafYazTipi"/>
    <w:uiPriority w:val="99"/>
    <w:semiHidden/>
    <w:unhideWhenUsed/>
    <w:rsid w:val="00362ECF"/>
    <w:rPr>
      <w:color w:val="0000FF"/>
      <w:u w:val="single"/>
    </w:rPr>
  </w:style>
  <w:style w:type="paragraph" w:customStyle="1" w:styleId="Standard">
    <w:name w:val="Standard"/>
    <w:rsid w:val="00ED4EFF"/>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character" w:customStyle="1" w:styleId="Balk3Char">
    <w:name w:val="Başlık 3 Char"/>
    <w:basedOn w:val="VarsaylanParagrafYazTipi"/>
    <w:link w:val="Balk3"/>
    <w:uiPriority w:val="9"/>
    <w:rsid w:val="00B62D21"/>
    <w:rPr>
      <w:rFonts w:asciiTheme="majorHAnsi" w:eastAsiaTheme="majorEastAsia" w:hAnsiTheme="majorHAnsi" w:cstheme="majorBidi"/>
      <w:b/>
      <w:bCs/>
      <w:color w:val="4F81BD" w:themeColor="accent1"/>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mboldtmfg.com/c-2-p-99-id-2.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167083\Desktop\sml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e167083\Desktop\sml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e167083\Desktop\sml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for 50kPa</c:v>
          </c:tx>
          <c:marker>
            <c:symbol val="none"/>
          </c:marker>
          <c:dLbls>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Sayfa1!$A$2:$A$10</c:f>
              <c:numCache>
                <c:formatCode>General</c:formatCode>
                <c:ptCount val="9"/>
                <c:pt idx="0">
                  <c:v>0</c:v>
                </c:pt>
                <c:pt idx="1">
                  <c:v>0.25</c:v>
                </c:pt>
                <c:pt idx="2" formatCode="0.000">
                  <c:v>0.375</c:v>
                </c:pt>
                <c:pt idx="3" formatCode="0.0000">
                  <c:v>0.5</c:v>
                </c:pt>
                <c:pt idx="4">
                  <c:v>0.625</c:v>
                </c:pt>
                <c:pt idx="5">
                  <c:v>0.75</c:v>
                </c:pt>
                <c:pt idx="6">
                  <c:v>1</c:v>
                </c:pt>
                <c:pt idx="7">
                  <c:v>1.5</c:v>
                </c:pt>
                <c:pt idx="8">
                  <c:v>2</c:v>
                </c:pt>
              </c:numCache>
            </c:numRef>
          </c:xVal>
          <c:yVal>
            <c:numRef>
              <c:f>Sayfa1!$B$2:$B$10</c:f>
              <c:numCache>
                <c:formatCode>General</c:formatCode>
                <c:ptCount val="9"/>
                <c:pt idx="0" formatCode="0.00">
                  <c:v>4.4000000000000004</c:v>
                </c:pt>
                <c:pt idx="1">
                  <c:v>4.79</c:v>
                </c:pt>
                <c:pt idx="2">
                  <c:v>4.8</c:v>
                </c:pt>
                <c:pt idx="3">
                  <c:v>4.82</c:v>
                </c:pt>
                <c:pt idx="4">
                  <c:v>4.83</c:v>
                </c:pt>
                <c:pt idx="5">
                  <c:v>4.84</c:v>
                </c:pt>
                <c:pt idx="6">
                  <c:v>4.8499999999999996</c:v>
                </c:pt>
                <c:pt idx="7">
                  <c:v>4.88</c:v>
                </c:pt>
                <c:pt idx="8">
                  <c:v>4.92</c:v>
                </c:pt>
              </c:numCache>
            </c:numRef>
          </c:yVal>
          <c:smooth val="1"/>
        </c:ser>
        <c:dLbls>
          <c:dLblPos val="r"/>
          <c:showLegendKey val="0"/>
          <c:showVal val="1"/>
          <c:showCatName val="1"/>
          <c:showSerName val="0"/>
          <c:showPercent val="0"/>
          <c:showBubbleSize val="0"/>
        </c:dLbls>
        <c:axId val="158968992"/>
        <c:axId val="155200448"/>
      </c:scatterChart>
      <c:valAx>
        <c:axId val="158968992"/>
        <c:scaling>
          <c:orientation val="minMax"/>
        </c:scaling>
        <c:delete val="0"/>
        <c:axPos val="b"/>
        <c:title>
          <c:tx>
            <c:rich>
              <a:bodyPr/>
              <a:lstStyle/>
              <a:p>
                <a:pPr>
                  <a:defRPr/>
                </a:pPr>
                <a:r>
                  <a:rPr lang="tr-TR"/>
                  <a:t>square root of time</a:t>
                </a:r>
              </a:p>
            </c:rich>
          </c:tx>
          <c:layout>
            <c:manualLayout>
              <c:xMode val="edge"/>
              <c:yMode val="edge"/>
              <c:x val="0.43556102714462464"/>
              <c:y val="0.94512329549117768"/>
            </c:manualLayout>
          </c:layout>
          <c:overlay val="0"/>
        </c:title>
        <c:numFmt formatCode="General" sourceLinked="1"/>
        <c:majorTickMark val="out"/>
        <c:minorTickMark val="none"/>
        <c:tickLblPos val="nextTo"/>
        <c:crossAx val="155200448"/>
        <c:crosses val="autoZero"/>
        <c:crossBetween val="midCat"/>
      </c:valAx>
      <c:valAx>
        <c:axId val="155200448"/>
        <c:scaling>
          <c:orientation val="minMax"/>
        </c:scaling>
        <c:delete val="0"/>
        <c:axPos val="l"/>
        <c:majorGridlines/>
        <c:title>
          <c:tx>
            <c:rich>
              <a:bodyPr/>
              <a:lstStyle/>
              <a:p>
                <a:pPr>
                  <a:defRPr/>
                </a:pPr>
                <a:r>
                  <a:rPr lang="tr-TR"/>
                  <a:t>dial (10^-2</a:t>
                </a:r>
                <a:r>
                  <a:rPr lang="tr-TR" baseline="0"/>
                  <a:t> mm)</a:t>
                </a:r>
                <a:endParaRPr lang="tr-TR"/>
              </a:p>
            </c:rich>
          </c:tx>
          <c:overlay val="0"/>
        </c:title>
        <c:numFmt formatCode="0.00" sourceLinked="1"/>
        <c:majorTickMark val="out"/>
        <c:minorTickMark val="none"/>
        <c:tickLblPos val="nextTo"/>
        <c:crossAx val="1589689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for </a:t>
            </a:r>
            <a:r>
              <a:rPr lang="en-US"/>
              <a:t>100kpa</a:t>
            </a:r>
          </a:p>
        </c:rich>
      </c:tx>
      <c:overlay val="0"/>
    </c:title>
    <c:autoTitleDeleted val="0"/>
    <c:plotArea>
      <c:layout/>
      <c:scatterChart>
        <c:scatterStyle val="smoothMarker"/>
        <c:varyColors val="0"/>
        <c:ser>
          <c:idx val="0"/>
          <c:order val="0"/>
          <c:tx>
            <c:strRef>
              <c:f>Sayfa1!$D$1</c:f>
              <c:strCache>
                <c:ptCount val="1"/>
                <c:pt idx="0">
                  <c:v>100kpa</c:v>
                </c:pt>
              </c:strCache>
            </c:strRef>
          </c:tx>
          <c:marker>
            <c:symbol val="none"/>
          </c:marker>
          <c:dLbls>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Sayfa1!$C$2:$C$10</c:f>
              <c:numCache>
                <c:formatCode>General</c:formatCode>
                <c:ptCount val="9"/>
                <c:pt idx="0">
                  <c:v>0</c:v>
                </c:pt>
                <c:pt idx="1">
                  <c:v>0.25</c:v>
                </c:pt>
                <c:pt idx="2" formatCode="0.000">
                  <c:v>0.375</c:v>
                </c:pt>
                <c:pt idx="3" formatCode="0.0000">
                  <c:v>0.5</c:v>
                </c:pt>
                <c:pt idx="4">
                  <c:v>0.625</c:v>
                </c:pt>
                <c:pt idx="5">
                  <c:v>0.75</c:v>
                </c:pt>
                <c:pt idx="6">
                  <c:v>1</c:v>
                </c:pt>
                <c:pt idx="7">
                  <c:v>1.5</c:v>
                </c:pt>
                <c:pt idx="8">
                  <c:v>2</c:v>
                </c:pt>
              </c:numCache>
            </c:numRef>
          </c:xVal>
          <c:yVal>
            <c:numRef>
              <c:f>Sayfa1!$D$2:$D$10</c:f>
              <c:numCache>
                <c:formatCode>General</c:formatCode>
                <c:ptCount val="9"/>
                <c:pt idx="0">
                  <c:v>4.92</c:v>
                </c:pt>
                <c:pt idx="1">
                  <c:v>5.09</c:v>
                </c:pt>
                <c:pt idx="2">
                  <c:v>5.1100000000000003</c:v>
                </c:pt>
                <c:pt idx="3">
                  <c:v>5.12</c:v>
                </c:pt>
                <c:pt idx="4">
                  <c:v>5.13</c:v>
                </c:pt>
                <c:pt idx="5">
                  <c:v>5.14</c:v>
                </c:pt>
                <c:pt idx="6">
                  <c:v>5.15</c:v>
                </c:pt>
                <c:pt idx="7">
                  <c:v>5.18</c:v>
                </c:pt>
                <c:pt idx="8">
                  <c:v>5.22</c:v>
                </c:pt>
              </c:numCache>
            </c:numRef>
          </c:yVal>
          <c:smooth val="1"/>
        </c:ser>
        <c:dLbls>
          <c:dLblPos val="r"/>
          <c:showLegendKey val="0"/>
          <c:showVal val="1"/>
          <c:showCatName val="1"/>
          <c:showSerName val="0"/>
          <c:showPercent val="0"/>
          <c:showBubbleSize val="0"/>
        </c:dLbls>
        <c:axId val="155203248"/>
        <c:axId val="155203808"/>
      </c:scatterChart>
      <c:valAx>
        <c:axId val="155203248"/>
        <c:scaling>
          <c:orientation val="minMax"/>
        </c:scaling>
        <c:delete val="0"/>
        <c:axPos val="b"/>
        <c:title>
          <c:tx>
            <c:rich>
              <a:bodyPr/>
              <a:lstStyle/>
              <a:p>
                <a:pPr>
                  <a:defRPr/>
                </a:pPr>
                <a:r>
                  <a:rPr lang="tr-TR"/>
                  <a:t>square roof of time</a:t>
                </a:r>
              </a:p>
            </c:rich>
          </c:tx>
          <c:overlay val="0"/>
        </c:title>
        <c:numFmt formatCode="General" sourceLinked="1"/>
        <c:majorTickMark val="out"/>
        <c:minorTickMark val="none"/>
        <c:tickLblPos val="nextTo"/>
        <c:crossAx val="155203808"/>
        <c:crosses val="autoZero"/>
        <c:crossBetween val="midCat"/>
      </c:valAx>
      <c:valAx>
        <c:axId val="155203808"/>
        <c:scaling>
          <c:orientation val="minMax"/>
        </c:scaling>
        <c:delete val="0"/>
        <c:axPos val="l"/>
        <c:majorGridlines/>
        <c:title>
          <c:tx>
            <c:rich>
              <a:bodyPr/>
              <a:lstStyle/>
              <a:p>
                <a:pPr>
                  <a:defRPr/>
                </a:pPr>
                <a:r>
                  <a:rPr lang="tr-TR"/>
                  <a:t>dial(10^-2mm)</a:t>
                </a:r>
              </a:p>
            </c:rich>
          </c:tx>
          <c:overlay val="0"/>
        </c:title>
        <c:numFmt formatCode="General" sourceLinked="1"/>
        <c:majorTickMark val="out"/>
        <c:minorTickMark val="none"/>
        <c:tickLblPos val="nextTo"/>
        <c:crossAx val="15520324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for 200kPa</a:t>
            </a:r>
          </a:p>
        </c:rich>
      </c:tx>
      <c:overlay val="0"/>
    </c:title>
    <c:autoTitleDeleted val="0"/>
    <c:plotArea>
      <c:layout/>
      <c:scatterChart>
        <c:scatterStyle val="smoothMarker"/>
        <c:varyColors val="0"/>
        <c:ser>
          <c:idx val="0"/>
          <c:order val="0"/>
          <c:tx>
            <c:strRef>
              <c:f>Sayfa1!$F$1</c:f>
              <c:strCache>
                <c:ptCount val="1"/>
                <c:pt idx="0">
                  <c:v>200kpa</c:v>
                </c:pt>
              </c:strCache>
            </c:strRef>
          </c:tx>
          <c:marker>
            <c:symbol val="none"/>
          </c:marker>
          <c:dLbls>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Sayfa1!$E$2:$E$10</c:f>
              <c:numCache>
                <c:formatCode>General</c:formatCode>
                <c:ptCount val="9"/>
                <c:pt idx="0">
                  <c:v>0</c:v>
                </c:pt>
                <c:pt idx="1">
                  <c:v>0.25</c:v>
                </c:pt>
                <c:pt idx="2" formatCode="0.000">
                  <c:v>0.375</c:v>
                </c:pt>
                <c:pt idx="3" formatCode="0.0000">
                  <c:v>0.5</c:v>
                </c:pt>
                <c:pt idx="4">
                  <c:v>0.625</c:v>
                </c:pt>
                <c:pt idx="5">
                  <c:v>0.75</c:v>
                </c:pt>
                <c:pt idx="6">
                  <c:v>1</c:v>
                </c:pt>
                <c:pt idx="7">
                  <c:v>1.5</c:v>
                </c:pt>
                <c:pt idx="8">
                  <c:v>2</c:v>
                </c:pt>
              </c:numCache>
            </c:numRef>
          </c:xVal>
          <c:yVal>
            <c:numRef>
              <c:f>Sayfa1!$F$2:$F$10</c:f>
              <c:numCache>
                <c:formatCode>General</c:formatCode>
                <c:ptCount val="9"/>
                <c:pt idx="0">
                  <c:v>5.22</c:v>
                </c:pt>
                <c:pt idx="1">
                  <c:v>5.44</c:v>
                </c:pt>
                <c:pt idx="2">
                  <c:v>5.46</c:v>
                </c:pt>
                <c:pt idx="3">
                  <c:v>5.48</c:v>
                </c:pt>
                <c:pt idx="4">
                  <c:v>5.49</c:v>
                </c:pt>
                <c:pt idx="5">
                  <c:v>5.51</c:v>
                </c:pt>
                <c:pt idx="6">
                  <c:v>5.52</c:v>
                </c:pt>
                <c:pt idx="7">
                  <c:v>5.56</c:v>
                </c:pt>
                <c:pt idx="8">
                  <c:v>5.59</c:v>
                </c:pt>
              </c:numCache>
            </c:numRef>
          </c:yVal>
          <c:smooth val="1"/>
        </c:ser>
        <c:dLbls>
          <c:dLblPos val="r"/>
          <c:showLegendKey val="0"/>
          <c:showVal val="1"/>
          <c:showCatName val="1"/>
          <c:showSerName val="0"/>
          <c:showPercent val="0"/>
          <c:showBubbleSize val="0"/>
        </c:dLbls>
        <c:axId val="199303360"/>
        <c:axId val="155205488"/>
      </c:scatterChart>
      <c:valAx>
        <c:axId val="199303360"/>
        <c:scaling>
          <c:orientation val="minMax"/>
        </c:scaling>
        <c:delete val="0"/>
        <c:axPos val="b"/>
        <c:title>
          <c:tx>
            <c:rich>
              <a:bodyPr/>
              <a:lstStyle/>
              <a:p>
                <a:pPr>
                  <a:defRPr/>
                </a:pPr>
                <a:r>
                  <a:rPr lang="tr-TR"/>
                  <a:t>square</a:t>
                </a:r>
                <a:r>
                  <a:rPr lang="tr-TR" baseline="0"/>
                  <a:t> root of time</a:t>
                </a:r>
                <a:endParaRPr lang="tr-TR"/>
              </a:p>
            </c:rich>
          </c:tx>
          <c:overlay val="0"/>
        </c:title>
        <c:numFmt formatCode="General" sourceLinked="1"/>
        <c:majorTickMark val="out"/>
        <c:minorTickMark val="none"/>
        <c:tickLblPos val="nextTo"/>
        <c:crossAx val="155205488"/>
        <c:crosses val="autoZero"/>
        <c:crossBetween val="midCat"/>
      </c:valAx>
      <c:valAx>
        <c:axId val="155205488"/>
        <c:scaling>
          <c:orientation val="minMax"/>
        </c:scaling>
        <c:delete val="0"/>
        <c:axPos val="l"/>
        <c:majorGridlines/>
        <c:title>
          <c:tx>
            <c:rich>
              <a:bodyPr/>
              <a:lstStyle/>
              <a:p>
                <a:pPr>
                  <a:defRPr/>
                </a:pPr>
                <a:r>
                  <a:rPr lang="tr-TR"/>
                  <a:t>dial(10^-2mm)</a:t>
                </a:r>
              </a:p>
            </c:rich>
          </c:tx>
          <c:layout>
            <c:manualLayout>
              <c:xMode val="edge"/>
              <c:yMode val="edge"/>
              <c:x val="1.3665820963971946E-2"/>
              <c:y val="0.43178988410898239"/>
            </c:manualLayout>
          </c:layout>
          <c:overlay val="0"/>
        </c:title>
        <c:numFmt formatCode="General" sourceLinked="1"/>
        <c:majorTickMark val="out"/>
        <c:minorTickMark val="none"/>
        <c:tickLblPos val="nextTo"/>
        <c:crossAx val="1993033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723</Words>
  <Characters>4126</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dc:creator>
  <cp:keywords/>
  <dc:description/>
  <cp:revision>14</cp:revision>
  <dcterms:created xsi:type="dcterms:W3CDTF">2011-12-01T20:34:00Z</dcterms:created>
  <dcterms:modified xsi:type="dcterms:W3CDTF">2023-11-22T01:08:00Z</dcterms:modified>
</cp:coreProperties>
</file>