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1"/>
        <w:gridCol w:w="4019"/>
      </w:tblGrid>
      <w:tr w:rsidR="00B21D19" w:rsidRPr="00A74FA3" w:rsidTr="00F15909">
        <w:trPr>
          <w:trHeight w:val="1463"/>
          <w:jc w:val="center"/>
        </w:trPr>
        <w:tc>
          <w:tcPr>
            <w:tcW w:w="3951" w:type="dxa"/>
          </w:tcPr>
          <w:p w:rsidR="00B21D19" w:rsidRPr="00A74FA3" w:rsidRDefault="00B21D19" w:rsidP="00F15909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</w:p>
          <w:p w:rsidR="00B21D19" w:rsidRPr="00A74FA3" w:rsidRDefault="00B21D19" w:rsidP="00F15909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 w:rsidRPr="00A74FA3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>Course Name:</w:t>
            </w:r>
            <w:r w:rsidRPr="00A74FA3"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  <w:t xml:space="preserve"> CE363     </w:t>
            </w:r>
          </w:p>
        </w:tc>
        <w:tc>
          <w:tcPr>
            <w:tcW w:w="4019" w:type="dxa"/>
          </w:tcPr>
          <w:p w:rsidR="00B21D19" w:rsidRPr="00A74FA3" w:rsidRDefault="00B21D19" w:rsidP="00F15909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val="en-GB"/>
              </w:rPr>
            </w:pPr>
          </w:p>
          <w:p w:rsidR="00B21D19" w:rsidRPr="00A74FA3" w:rsidRDefault="00B21D19" w:rsidP="009806D9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 w:rsidRPr="00A74FA3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>Deadline of Report</w:t>
            </w:r>
            <w:r w:rsidRPr="00A74FA3"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  <w:t xml:space="preserve"> </w:t>
            </w:r>
            <w:r w:rsidR="009806D9"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  <w:t>08</w:t>
            </w:r>
            <w:r w:rsidRPr="00A74FA3"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  <w:t>/1</w:t>
            </w:r>
            <w:r w:rsidR="004974F7"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  <w:t>2</w:t>
            </w:r>
            <w:r w:rsidRPr="00A74FA3"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  <w:t>/2014</w:t>
            </w:r>
          </w:p>
        </w:tc>
      </w:tr>
      <w:tr w:rsidR="00B21D19" w:rsidRPr="00A74FA3" w:rsidTr="00F15909">
        <w:trPr>
          <w:trHeight w:val="4037"/>
          <w:jc w:val="center"/>
        </w:trPr>
        <w:tc>
          <w:tcPr>
            <w:tcW w:w="7970" w:type="dxa"/>
            <w:gridSpan w:val="2"/>
            <w:tcBorders>
              <w:bottom w:val="single" w:sz="4" w:space="0" w:color="auto"/>
            </w:tcBorders>
          </w:tcPr>
          <w:p w:rsidR="00B21D19" w:rsidRPr="00A74FA3" w:rsidRDefault="00B21D19" w:rsidP="00F15909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sz w:val="44"/>
                <w:szCs w:val="32"/>
                <w:lang w:val="en-GB"/>
              </w:rPr>
            </w:pPr>
          </w:p>
          <w:p w:rsidR="00B21D19" w:rsidRDefault="00B21D19" w:rsidP="00F15909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52"/>
                <w:szCs w:val="28"/>
                <w:lang w:val="en-GB"/>
              </w:rPr>
            </w:pPr>
            <w:r w:rsidRPr="00A74FA3">
              <w:rPr>
                <w:rFonts w:ascii="Times New Roman" w:eastAsia="Calibri" w:hAnsi="Times New Roman" w:cs="Times New Roman"/>
                <w:b/>
                <w:sz w:val="52"/>
                <w:szCs w:val="28"/>
                <w:lang w:val="en-GB"/>
              </w:rPr>
              <w:t>Title of Test</w:t>
            </w:r>
          </w:p>
          <w:p w:rsidR="00B21D19" w:rsidRPr="0065484F" w:rsidRDefault="00131495" w:rsidP="009806D9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52"/>
                <w:szCs w:val="28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48"/>
                <w:lang w:val="en-GB"/>
              </w:rPr>
              <w:t>Direct Shear</w:t>
            </w:r>
            <w:r w:rsidR="004E6F02">
              <w:rPr>
                <w:rFonts w:ascii="Times New Roman" w:eastAsia="Calibri" w:hAnsi="Times New Roman" w:cs="Times New Roman"/>
                <w:sz w:val="48"/>
                <w:lang w:val="en-GB"/>
              </w:rPr>
              <w:t xml:space="preserve"> Test</w:t>
            </w:r>
          </w:p>
        </w:tc>
      </w:tr>
      <w:tr w:rsidR="00B21D19" w:rsidRPr="00A74FA3" w:rsidTr="00F15909">
        <w:trPr>
          <w:trHeight w:val="781"/>
          <w:jc w:val="center"/>
        </w:trPr>
        <w:tc>
          <w:tcPr>
            <w:tcW w:w="3951" w:type="dxa"/>
          </w:tcPr>
          <w:p w:rsidR="00B21D19" w:rsidRPr="00A74FA3" w:rsidRDefault="00B21D19" w:rsidP="00F15909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</w:pPr>
            <w:r w:rsidRPr="00A74FA3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>Year</w:t>
            </w:r>
            <w:r w:rsidR="00BC038F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 xml:space="preserve"> </w:t>
            </w:r>
            <w:r w:rsidRPr="00A74FA3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>&amp;</w:t>
            </w:r>
            <w:r w:rsidR="00BC038F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 xml:space="preserve"> </w:t>
            </w:r>
            <w:r w:rsidRPr="00A74FA3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>Section:</w:t>
            </w:r>
            <w:r w:rsidR="00BC038F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 xml:space="preserve"> </w:t>
            </w:r>
            <w:r w:rsidRPr="00A74FA3"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  <w:t>3</w:t>
            </w:r>
            <w:r w:rsidR="00BC038F"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  <w:t xml:space="preserve"> </w:t>
            </w:r>
            <w:r w:rsidRPr="00A74FA3"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  <w:t>&amp;</w:t>
            </w:r>
            <w:r w:rsidR="00BC038F"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  <w:t xml:space="preserve"> </w:t>
            </w:r>
            <w:r w:rsidRPr="00A74FA3"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  <w:t>2</w:t>
            </w:r>
          </w:p>
        </w:tc>
        <w:tc>
          <w:tcPr>
            <w:tcW w:w="4019" w:type="dxa"/>
          </w:tcPr>
          <w:p w:rsidR="00B21D19" w:rsidRPr="00A74FA3" w:rsidRDefault="00B21D19" w:rsidP="004E6F02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</w:pPr>
            <w:r w:rsidRPr="00A74FA3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>Lab. Group:</w:t>
            </w:r>
            <w:r w:rsidR="00442467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 xml:space="preserve"> </w:t>
            </w:r>
            <w:r w:rsidR="004E6F02"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  <w:t>1</w:t>
            </w:r>
          </w:p>
        </w:tc>
      </w:tr>
      <w:tr w:rsidR="00B21D19" w:rsidRPr="00A74FA3" w:rsidTr="00F15909">
        <w:trPr>
          <w:trHeight w:val="1025"/>
          <w:jc w:val="center"/>
        </w:trPr>
        <w:tc>
          <w:tcPr>
            <w:tcW w:w="7970" w:type="dxa"/>
            <w:gridSpan w:val="2"/>
          </w:tcPr>
          <w:p w:rsidR="00B21D19" w:rsidRPr="00A74FA3" w:rsidRDefault="00B21D19" w:rsidP="00F15909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</w:pPr>
          </w:p>
          <w:p w:rsidR="00B21D19" w:rsidRPr="00A74FA3" w:rsidRDefault="00B21D19" w:rsidP="00F15909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</w:pPr>
            <w:r w:rsidRPr="00A74FA3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>Name</w:t>
            </w:r>
            <w:r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 xml:space="preserve"> </w:t>
            </w:r>
            <w:r w:rsidRPr="00A74FA3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>&amp;</w:t>
            </w:r>
            <w:r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 xml:space="preserve"> </w:t>
            </w:r>
            <w:r w:rsidR="00B806AE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>Surname of Student:</w:t>
            </w:r>
          </w:p>
          <w:p w:rsidR="00B21D19" w:rsidRPr="00A74FA3" w:rsidRDefault="00B21D19" w:rsidP="00F15909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sz w:val="36"/>
                <w:szCs w:val="32"/>
                <w:lang w:val="en-GB"/>
              </w:rPr>
            </w:pPr>
            <w:r w:rsidRPr="00A74FA3">
              <w:rPr>
                <w:rFonts w:ascii="Times New Roman" w:eastAsia="Calibri" w:hAnsi="Times New Roman" w:cs="Times New Roman"/>
                <w:b/>
                <w:sz w:val="36"/>
                <w:szCs w:val="32"/>
                <w:lang w:val="en-GB"/>
              </w:rPr>
              <w:t>ID:</w:t>
            </w:r>
            <w:bookmarkStart w:id="0" w:name="_GoBack"/>
            <w:bookmarkEnd w:id="0"/>
          </w:p>
        </w:tc>
      </w:tr>
    </w:tbl>
    <w:p w:rsidR="00B21D19" w:rsidRPr="00A74FA3" w:rsidRDefault="00B21D19" w:rsidP="00B21D19">
      <w:pPr>
        <w:spacing w:after="20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GB"/>
        </w:rPr>
      </w:pPr>
    </w:p>
    <w:p w:rsidR="005477F7" w:rsidRDefault="005477F7"/>
    <w:p w:rsidR="00B21D19" w:rsidRDefault="00B21D19"/>
    <w:p w:rsidR="00B21D19" w:rsidRDefault="00B21D19"/>
    <w:p w:rsidR="00B21D19" w:rsidRDefault="00B21D19"/>
    <w:p w:rsidR="00B21D19" w:rsidRDefault="00B21D19"/>
    <w:p w:rsidR="00B21D19" w:rsidRDefault="00B21D19"/>
    <w:p w:rsidR="00B21D19" w:rsidRDefault="00B21D19"/>
    <w:p w:rsidR="009F67AB" w:rsidRDefault="009F67AB"/>
    <w:p w:rsidR="00116CE8" w:rsidRDefault="00116CE8"/>
    <w:p w:rsidR="00116CE8" w:rsidRDefault="00116CE8"/>
    <w:p w:rsidR="00116CE8" w:rsidRDefault="00116CE8"/>
    <w:p w:rsidR="009F67AB" w:rsidRDefault="009F67A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2897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17DA" w:rsidRPr="00AA2AD5" w:rsidRDefault="00CC17DA" w:rsidP="00CC17DA">
          <w:pPr>
            <w:pStyle w:val="TBal"/>
            <w:jc w:val="center"/>
            <w:rPr>
              <w:b/>
              <w:sz w:val="36"/>
              <w:szCs w:val="36"/>
            </w:rPr>
          </w:pPr>
          <w:r w:rsidRPr="00AA2AD5">
            <w:rPr>
              <w:b/>
              <w:sz w:val="36"/>
              <w:szCs w:val="36"/>
            </w:rPr>
            <w:t>Table of Contents</w:t>
          </w:r>
        </w:p>
        <w:p w:rsidR="00E76250" w:rsidRPr="00E76250" w:rsidRDefault="00CC17DA">
          <w:pPr>
            <w:pStyle w:val="T1"/>
            <w:rPr>
              <w:rFonts w:eastAsiaTheme="minorEastAsia"/>
              <w:noProof/>
              <w:sz w:val="24"/>
              <w:szCs w:val="24"/>
            </w:rPr>
          </w:pPr>
          <w:r w:rsidRPr="00797235">
            <w:rPr>
              <w:sz w:val="24"/>
              <w:szCs w:val="24"/>
            </w:rPr>
            <w:fldChar w:fldCharType="begin"/>
          </w:r>
          <w:r w:rsidRPr="00797235">
            <w:rPr>
              <w:sz w:val="24"/>
              <w:szCs w:val="24"/>
            </w:rPr>
            <w:instrText xml:space="preserve"> TOC \o "1-3" \h \z \u </w:instrText>
          </w:r>
          <w:r w:rsidRPr="00797235">
            <w:rPr>
              <w:sz w:val="24"/>
              <w:szCs w:val="24"/>
            </w:rPr>
            <w:fldChar w:fldCharType="separate"/>
          </w:r>
          <w:hyperlink w:anchor="_Toc405765868" w:history="1">
            <w:r w:rsidR="00E76250" w:rsidRPr="00E76250">
              <w:rPr>
                <w:rStyle w:val="Kpr"/>
                <w:b/>
                <w:noProof/>
                <w:sz w:val="24"/>
                <w:szCs w:val="24"/>
              </w:rPr>
              <w:t>Introduction</w:t>
            </w:r>
            <w:r w:rsidR="00E76250" w:rsidRPr="00E76250">
              <w:rPr>
                <w:noProof/>
                <w:webHidden/>
                <w:sz w:val="24"/>
                <w:szCs w:val="24"/>
              </w:rPr>
              <w:tab/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50" w:rsidRPr="00E76250">
              <w:rPr>
                <w:noProof/>
                <w:webHidden/>
                <w:sz w:val="24"/>
                <w:szCs w:val="24"/>
              </w:rPr>
              <w:instrText xml:space="preserve"> PAGEREF _Toc405765868 \h </w:instrText>
            </w:r>
            <w:r w:rsidR="00E76250" w:rsidRPr="00E76250">
              <w:rPr>
                <w:noProof/>
                <w:webHidden/>
                <w:sz w:val="24"/>
                <w:szCs w:val="24"/>
              </w:rPr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50" w:rsidRPr="00E76250">
              <w:rPr>
                <w:noProof/>
                <w:webHidden/>
                <w:sz w:val="24"/>
                <w:szCs w:val="24"/>
              </w:rPr>
              <w:t>3</w:t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50" w:rsidRPr="00E76250" w:rsidRDefault="004E5C62">
          <w:pPr>
            <w:pStyle w:val="T1"/>
            <w:rPr>
              <w:rFonts w:eastAsiaTheme="minorEastAsia"/>
              <w:noProof/>
              <w:sz w:val="24"/>
              <w:szCs w:val="24"/>
            </w:rPr>
          </w:pPr>
          <w:hyperlink w:anchor="_Toc405765869" w:history="1">
            <w:r w:rsidR="00E76250" w:rsidRPr="00E76250">
              <w:rPr>
                <w:rStyle w:val="Kpr"/>
                <w:b/>
                <w:noProof/>
                <w:sz w:val="24"/>
                <w:szCs w:val="24"/>
              </w:rPr>
              <w:t>Equipment</w:t>
            </w:r>
            <w:r w:rsidR="00E76250" w:rsidRPr="00E76250">
              <w:rPr>
                <w:noProof/>
                <w:webHidden/>
                <w:sz w:val="24"/>
                <w:szCs w:val="24"/>
              </w:rPr>
              <w:tab/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50" w:rsidRPr="00E76250">
              <w:rPr>
                <w:noProof/>
                <w:webHidden/>
                <w:sz w:val="24"/>
                <w:szCs w:val="24"/>
              </w:rPr>
              <w:instrText xml:space="preserve"> PAGEREF _Toc405765869 \h </w:instrText>
            </w:r>
            <w:r w:rsidR="00E76250" w:rsidRPr="00E76250">
              <w:rPr>
                <w:noProof/>
                <w:webHidden/>
                <w:sz w:val="24"/>
                <w:szCs w:val="24"/>
              </w:rPr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50" w:rsidRPr="00E76250">
              <w:rPr>
                <w:noProof/>
                <w:webHidden/>
                <w:sz w:val="24"/>
                <w:szCs w:val="24"/>
              </w:rPr>
              <w:t>3</w:t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50" w:rsidRPr="00E76250" w:rsidRDefault="004E5C62">
          <w:pPr>
            <w:pStyle w:val="T1"/>
            <w:rPr>
              <w:rFonts w:eastAsiaTheme="minorEastAsia"/>
              <w:noProof/>
              <w:sz w:val="24"/>
              <w:szCs w:val="24"/>
            </w:rPr>
          </w:pPr>
          <w:hyperlink w:anchor="_Toc405765870" w:history="1">
            <w:r w:rsidR="00E76250" w:rsidRPr="00E76250">
              <w:rPr>
                <w:rStyle w:val="Kpr"/>
                <w:b/>
                <w:noProof/>
                <w:sz w:val="24"/>
                <w:szCs w:val="24"/>
              </w:rPr>
              <w:t>Methodology</w:t>
            </w:r>
            <w:r w:rsidR="00E76250" w:rsidRPr="00E76250">
              <w:rPr>
                <w:noProof/>
                <w:webHidden/>
                <w:sz w:val="24"/>
                <w:szCs w:val="24"/>
              </w:rPr>
              <w:tab/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50" w:rsidRPr="00E76250">
              <w:rPr>
                <w:noProof/>
                <w:webHidden/>
                <w:sz w:val="24"/>
                <w:szCs w:val="24"/>
              </w:rPr>
              <w:instrText xml:space="preserve"> PAGEREF _Toc405765870 \h </w:instrText>
            </w:r>
            <w:r w:rsidR="00E76250" w:rsidRPr="00E76250">
              <w:rPr>
                <w:noProof/>
                <w:webHidden/>
                <w:sz w:val="24"/>
                <w:szCs w:val="24"/>
              </w:rPr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50" w:rsidRPr="00E76250">
              <w:rPr>
                <w:noProof/>
                <w:webHidden/>
                <w:sz w:val="24"/>
                <w:szCs w:val="24"/>
              </w:rPr>
              <w:t>3</w:t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50" w:rsidRPr="00E76250" w:rsidRDefault="004E5C62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765871" w:history="1">
            <w:r w:rsidR="00E76250" w:rsidRPr="00E76250">
              <w:rPr>
                <w:rStyle w:val="Kpr"/>
                <w:noProof/>
                <w:sz w:val="24"/>
                <w:szCs w:val="24"/>
              </w:rPr>
              <w:t>General Rules</w:t>
            </w:r>
            <w:r w:rsidR="00E76250" w:rsidRPr="00E76250">
              <w:rPr>
                <w:noProof/>
                <w:webHidden/>
                <w:sz w:val="24"/>
                <w:szCs w:val="24"/>
              </w:rPr>
              <w:tab/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50" w:rsidRPr="00E76250">
              <w:rPr>
                <w:noProof/>
                <w:webHidden/>
                <w:sz w:val="24"/>
                <w:szCs w:val="24"/>
              </w:rPr>
              <w:instrText xml:space="preserve"> PAGEREF _Toc405765871 \h </w:instrText>
            </w:r>
            <w:r w:rsidR="00E76250" w:rsidRPr="00E76250">
              <w:rPr>
                <w:noProof/>
                <w:webHidden/>
                <w:sz w:val="24"/>
                <w:szCs w:val="24"/>
              </w:rPr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50" w:rsidRPr="00E76250">
              <w:rPr>
                <w:noProof/>
                <w:webHidden/>
                <w:sz w:val="24"/>
                <w:szCs w:val="24"/>
              </w:rPr>
              <w:t>3</w:t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50" w:rsidRPr="00E76250" w:rsidRDefault="004E5C62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765872" w:history="1">
            <w:r w:rsidR="00E76250" w:rsidRPr="00E76250">
              <w:rPr>
                <w:rStyle w:val="Kpr"/>
                <w:noProof/>
                <w:sz w:val="24"/>
                <w:szCs w:val="24"/>
              </w:rPr>
              <w:t>Calibration</w:t>
            </w:r>
            <w:r w:rsidR="00E76250" w:rsidRPr="00E76250">
              <w:rPr>
                <w:noProof/>
                <w:webHidden/>
                <w:sz w:val="24"/>
                <w:szCs w:val="24"/>
              </w:rPr>
              <w:tab/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50" w:rsidRPr="00E76250">
              <w:rPr>
                <w:noProof/>
                <w:webHidden/>
                <w:sz w:val="24"/>
                <w:szCs w:val="24"/>
              </w:rPr>
              <w:instrText xml:space="preserve"> PAGEREF _Toc405765872 \h </w:instrText>
            </w:r>
            <w:r w:rsidR="00E76250" w:rsidRPr="00E76250">
              <w:rPr>
                <w:noProof/>
                <w:webHidden/>
                <w:sz w:val="24"/>
                <w:szCs w:val="24"/>
              </w:rPr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50" w:rsidRPr="00E76250">
              <w:rPr>
                <w:noProof/>
                <w:webHidden/>
                <w:sz w:val="24"/>
                <w:szCs w:val="24"/>
              </w:rPr>
              <w:t>3</w:t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50" w:rsidRPr="00E76250" w:rsidRDefault="004E5C62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765873" w:history="1">
            <w:r w:rsidR="00E76250" w:rsidRPr="00E76250">
              <w:rPr>
                <w:rStyle w:val="Kpr"/>
                <w:noProof/>
                <w:sz w:val="24"/>
                <w:szCs w:val="24"/>
              </w:rPr>
              <w:t>Specimen</w:t>
            </w:r>
            <w:r w:rsidR="00E76250" w:rsidRPr="00E76250">
              <w:rPr>
                <w:noProof/>
                <w:webHidden/>
                <w:sz w:val="24"/>
                <w:szCs w:val="24"/>
              </w:rPr>
              <w:tab/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50" w:rsidRPr="00E76250">
              <w:rPr>
                <w:noProof/>
                <w:webHidden/>
                <w:sz w:val="24"/>
                <w:szCs w:val="24"/>
              </w:rPr>
              <w:instrText xml:space="preserve"> PAGEREF _Toc405765873 \h </w:instrText>
            </w:r>
            <w:r w:rsidR="00E76250" w:rsidRPr="00E76250">
              <w:rPr>
                <w:noProof/>
                <w:webHidden/>
                <w:sz w:val="24"/>
                <w:szCs w:val="24"/>
              </w:rPr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50" w:rsidRPr="00E76250">
              <w:rPr>
                <w:noProof/>
                <w:webHidden/>
                <w:sz w:val="24"/>
                <w:szCs w:val="24"/>
              </w:rPr>
              <w:t>4</w:t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50" w:rsidRPr="00E76250" w:rsidRDefault="004E5C62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765874" w:history="1">
            <w:r w:rsidR="00E76250" w:rsidRPr="00E76250">
              <w:rPr>
                <w:rStyle w:val="Kpr"/>
                <w:noProof/>
                <w:sz w:val="24"/>
                <w:szCs w:val="24"/>
              </w:rPr>
              <w:t>Test Procedure</w:t>
            </w:r>
            <w:r w:rsidR="00E76250" w:rsidRPr="00E76250">
              <w:rPr>
                <w:noProof/>
                <w:webHidden/>
                <w:sz w:val="24"/>
                <w:szCs w:val="24"/>
              </w:rPr>
              <w:tab/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50" w:rsidRPr="00E76250">
              <w:rPr>
                <w:noProof/>
                <w:webHidden/>
                <w:sz w:val="24"/>
                <w:szCs w:val="24"/>
              </w:rPr>
              <w:instrText xml:space="preserve"> PAGEREF _Toc405765874 \h </w:instrText>
            </w:r>
            <w:r w:rsidR="00E76250" w:rsidRPr="00E76250">
              <w:rPr>
                <w:noProof/>
                <w:webHidden/>
                <w:sz w:val="24"/>
                <w:szCs w:val="24"/>
              </w:rPr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50" w:rsidRPr="00E76250">
              <w:rPr>
                <w:noProof/>
                <w:webHidden/>
                <w:sz w:val="24"/>
                <w:szCs w:val="24"/>
              </w:rPr>
              <w:t>5</w:t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50" w:rsidRPr="00E76250" w:rsidRDefault="004E5C62">
          <w:pPr>
            <w:pStyle w:val="T1"/>
            <w:rPr>
              <w:rFonts w:eastAsiaTheme="minorEastAsia"/>
              <w:noProof/>
              <w:sz w:val="24"/>
              <w:szCs w:val="24"/>
            </w:rPr>
          </w:pPr>
          <w:hyperlink w:anchor="_Toc405765875" w:history="1">
            <w:r w:rsidR="00E76250" w:rsidRPr="00E76250">
              <w:rPr>
                <w:rStyle w:val="Kpr"/>
                <w:b/>
                <w:noProof/>
                <w:sz w:val="24"/>
                <w:szCs w:val="24"/>
              </w:rPr>
              <w:t>Results</w:t>
            </w:r>
            <w:r w:rsidR="00E76250" w:rsidRPr="00E76250">
              <w:rPr>
                <w:noProof/>
                <w:webHidden/>
                <w:sz w:val="24"/>
                <w:szCs w:val="24"/>
              </w:rPr>
              <w:tab/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50" w:rsidRPr="00E76250">
              <w:rPr>
                <w:noProof/>
                <w:webHidden/>
                <w:sz w:val="24"/>
                <w:szCs w:val="24"/>
              </w:rPr>
              <w:instrText xml:space="preserve"> PAGEREF _Toc405765875 \h </w:instrText>
            </w:r>
            <w:r w:rsidR="00E76250" w:rsidRPr="00E76250">
              <w:rPr>
                <w:noProof/>
                <w:webHidden/>
                <w:sz w:val="24"/>
                <w:szCs w:val="24"/>
              </w:rPr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50" w:rsidRPr="00E76250">
              <w:rPr>
                <w:noProof/>
                <w:webHidden/>
                <w:sz w:val="24"/>
                <w:szCs w:val="24"/>
              </w:rPr>
              <w:t>5</w:t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50" w:rsidRPr="00E76250" w:rsidRDefault="004E5C62">
          <w:pPr>
            <w:pStyle w:val="T1"/>
            <w:rPr>
              <w:rFonts w:eastAsiaTheme="minorEastAsia"/>
              <w:noProof/>
              <w:sz w:val="24"/>
              <w:szCs w:val="24"/>
            </w:rPr>
          </w:pPr>
          <w:hyperlink w:anchor="_Toc405765876" w:history="1">
            <w:r w:rsidR="00E76250" w:rsidRPr="00E76250">
              <w:rPr>
                <w:rStyle w:val="Kpr"/>
                <w:b/>
                <w:noProof/>
                <w:sz w:val="24"/>
                <w:szCs w:val="24"/>
              </w:rPr>
              <w:t>Calculations</w:t>
            </w:r>
            <w:r w:rsidR="00E76250" w:rsidRPr="00E76250">
              <w:rPr>
                <w:noProof/>
                <w:webHidden/>
                <w:sz w:val="24"/>
                <w:szCs w:val="24"/>
              </w:rPr>
              <w:tab/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50" w:rsidRPr="00E76250">
              <w:rPr>
                <w:noProof/>
                <w:webHidden/>
                <w:sz w:val="24"/>
                <w:szCs w:val="24"/>
              </w:rPr>
              <w:instrText xml:space="preserve"> PAGEREF _Toc405765876 \h </w:instrText>
            </w:r>
            <w:r w:rsidR="00E76250" w:rsidRPr="00E76250">
              <w:rPr>
                <w:noProof/>
                <w:webHidden/>
                <w:sz w:val="24"/>
                <w:szCs w:val="24"/>
              </w:rPr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50" w:rsidRPr="00E76250">
              <w:rPr>
                <w:noProof/>
                <w:webHidden/>
                <w:sz w:val="24"/>
                <w:szCs w:val="24"/>
              </w:rPr>
              <w:t>6</w:t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50" w:rsidRPr="00E76250" w:rsidRDefault="004E5C62">
          <w:pPr>
            <w:pStyle w:val="T1"/>
            <w:rPr>
              <w:rFonts w:eastAsiaTheme="minorEastAsia"/>
              <w:noProof/>
              <w:sz w:val="24"/>
              <w:szCs w:val="24"/>
            </w:rPr>
          </w:pPr>
          <w:hyperlink w:anchor="_Toc405765877" w:history="1">
            <w:r w:rsidR="00E76250" w:rsidRPr="00E76250">
              <w:rPr>
                <w:rStyle w:val="Kpr"/>
                <w:b/>
                <w:noProof/>
                <w:sz w:val="24"/>
                <w:szCs w:val="24"/>
              </w:rPr>
              <w:t>Conclusion</w:t>
            </w:r>
            <w:r w:rsidR="00E76250" w:rsidRPr="00E76250">
              <w:rPr>
                <w:noProof/>
                <w:webHidden/>
                <w:sz w:val="24"/>
                <w:szCs w:val="24"/>
              </w:rPr>
              <w:tab/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50" w:rsidRPr="00E76250">
              <w:rPr>
                <w:noProof/>
                <w:webHidden/>
                <w:sz w:val="24"/>
                <w:szCs w:val="24"/>
              </w:rPr>
              <w:instrText xml:space="preserve"> PAGEREF _Toc405765877 \h </w:instrText>
            </w:r>
            <w:r w:rsidR="00E76250" w:rsidRPr="00E76250">
              <w:rPr>
                <w:noProof/>
                <w:webHidden/>
                <w:sz w:val="24"/>
                <w:szCs w:val="24"/>
              </w:rPr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50" w:rsidRPr="00E76250">
              <w:rPr>
                <w:noProof/>
                <w:webHidden/>
                <w:sz w:val="24"/>
                <w:szCs w:val="24"/>
              </w:rPr>
              <w:t>10</w:t>
            </w:r>
            <w:r w:rsidR="00E76250" w:rsidRPr="00E762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17DA" w:rsidRDefault="00CC17DA">
          <w:r w:rsidRPr="0079723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C17DA" w:rsidRDefault="00CC17DA"/>
    <w:p w:rsidR="00116CE8" w:rsidRDefault="00116CE8"/>
    <w:p w:rsidR="00116CE8" w:rsidRDefault="00116CE8"/>
    <w:p w:rsidR="00116CE8" w:rsidRDefault="00116CE8"/>
    <w:p w:rsidR="00116CE8" w:rsidRDefault="00116CE8"/>
    <w:p w:rsidR="00116CE8" w:rsidRDefault="00116CE8"/>
    <w:p w:rsidR="00116CE8" w:rsidRDefault="00116CE8"/>
    <w:p w:rsidR="00116CE8" w:rsidRDefault="00116CE8"/>
    <w:p w:rsidR="00116CE8" w:rsidRDefault="00116CE8"/>
    <w:p w:rsidR="00116CE8" w:rsidRDefault="00116CE8"/>
    <w:p w:rsidR="00116CE8" w:rsidRDefault="00116CE8"/>
    <w:p w:rsidR="00116CE8" w:rsidRDefault="00116CE8"/>
    <w:p w:rsidR="00116CE8" w:rsidRDefault="00116CE8"/>
    <w:p w:rsidR="00B21D19" w:rsidRPr="00BD1626" w:rsidRDefault="005936C5" w:rsidP="005936C5">
      <w:pPr>
        <w:pStyle w:val="Balk1"/>
        <w:jc w:val="center"/>
        <w:rPr>
          <w:b/>
        </w:rPr>
      </w:pPr>
      <w:bookmarkStart w:id="1" w:name="_Toc405765868"/>
      <w:r w:rsidRPr="00BD1626">
        <w:rPr>
          <w:b/>
        </w:rPr>
        <w:t>Introduction</w:t>
      </w:r>
      <w:bookmarkEnd w:id="1"/>
    </w:p>
    <w:p w:rsidR="005936C5" w:rsidRDefault="005936C5" w:rsidP="005936C5">
      <w:pPr>
        <w:spacing w:line="360" w:lineRule="auto"/>
        <w:ind w:left="340"/>
      </w:pPr>
      <w:r>
        <w:t xml:space="preserve">               </w:t>
      </w:r>
    </w:p>
    <w:p w:rsidR="005936C5" w:rsidRDefault="005936C5" w:rsidP="009806D9">
      <w:pPr>
        <w:spacing w:line="360" w:lineRule="auto"/>
        <w:ind w:left="340"/>
        <w:jc w:val="both"/>
      </w:pPr>
      <w:r>
        <w:t xml:space="preserve">           </w:t>
      </w:r>
      <w:r w:rsidR="00131495">
        <w:t>Direct Shear</w:t>
      </w:r>
      <w:r w:rsidR="009806D9">
        <w:t xml:space="preserve"> Test is done to d</w:t>
      </w:r>
      <w:r w:rsidR="009806D9" w:rsidRPr="009806D9">
        <w:t xml:space="preserve">etermine </w:t>
      </w:r>
      <w:r w:rsidR="00131495">
        <w:t>strength-deformation characteristics of a dry sand at a specific density.</w:t>
      </w:r>
    </w:p>
    <w:p w:rsidR="005936C5" w:rsidRPr="00BD1626" w:rsidRDefault="005936C5" w:rsidP="005936C5">
      <w:pPr>
        <w:pStyle w:val="Balk1"/>
        <w:jc w:val="center"/>
        <w:rPr>
          <w:b/>
        </w:rPr>
      </w:pPr>
      <w:bookmarkStart w:id="2" w:name="_Toc405765869"/>
      <w:r w:rsidRPr="00BD1626">
        <w:rPr>
          <w:b/>
        </w:rPr>
        <w:t>Equipment</w:t>
      </w:r>
      <w:bookmarkEnd w:id="2"/>
    </w:p>
    <w:p w:rsidR="005936C5" w:rsidRDefault="005936C5" w:rsidP="00B039AB">
      <w:pPr>
        <w:spacing w:line="360" w:lineRule="auto"/>
        <w:jc w:val="center"/>
      </w:pPr>
    </w:p>
    <w:p w:rsidR="004D33C4" w:rsidRPr="004D33C4" w:rsidRDefault="004D33C4" w:rsidP="004D33C4">
      <w:pPr>
        <w:pStyle w:val="ListeParagraf"/>
        <w:numPr>
          <w:ilvl w:val="0"/>
          <w:numId w:val="1"/>
        </w:numPr>
        <w:spacing w:line="360" w:lineRule="auto"/>
      </w:pPr>
      <w:r>
        <w:rPr>
          <w:rFonts w:eastAsia="Times New Roman" w:cs="Arial"/>
        </w:rPr>
        <w:t>D</w:t>
      </w:r>
      <w:r w:rsidRPr="004D33C4">
        <w:rPr>
          <w:rFonts w:eastAsia="Times New Roman" w:cs="Arial"/>
        </w:rPr>
        <w:t>irect shear box with two separator bolts and two restraining bolts.</w:t>
      </w:r>
    </w:p>
    <w:p w:rsidR="004D33C4" w:rsidRPr="004D33C4" w:rsidRDefault="004D33C4" w:rsidP="004D33C4">
      <w:pPr>
        <w:pStyle w:val="ListeParagraf"/>
        <w:numPr>
          <w:ilvl w:val="0"/>
          <w:numId w:val="1"/>
        </w:numPr>
        <w:spacing w:line="360" w:lineRule="auto"/>
        <w:rPr>
          <w:b/>
        </w:rPr>
      </w:pPr>
      <w:r>
        <w:t>T</w:t>
      </w:r>
      <w:r w:rsidRPr="004D33C4">
        <w:t>op cap (a steel ball is placed on top of the cap in many setups, but here we do not need it)</w:t>
      </w:r>
    </w:p>
    <w:p w:rsidR="009806D9" w:rsidRPr="004D33C4" w:rsidRDefault="004D33C4" w:rsidP="004D33C4">
      <w:pPr>
        <w:pStyle w:val="ListeParagraf"/>
        <w:numPr>
          <w:ilvl w:val="0"/>
          <w:numId w:val="1"/>
        </w:numPr>
        <w:spacing w:line="360" w:lineRule="auto"/>
        <w:rPr>
          <w:b/>
        </w:rPr>
      </w:pPr>
      <w:r>
        <w:t>P</w:t>
      </w:r>
      <w:r w:rsidRPr="004D33C4">
        <w:t>orous stones and ribbed plates</w:t>
      </w:r>
    </w:p>
    <w:p w:rsidR="004D33C4" w:rsidRDefault="004D33C4" w:rsidP="004D33C4">
      <w:pPr>
        <w:pStyle w:val="ListeParagraf"/>
        <w:numPr>
          <w:ilvl w:val="0"/>
          <w:numId w:val="1"/>
        </w:numPr>
        <w:spacing w:line="360" w:lineRule="auto"/>
      </w:pPr>
      <w:r>
        <w:t>D</w:t>
      </w:r>
      <w:r w:rsidRPr="004D33C4">
        <w:t>irect shear load frame with lever arm and weights</w:t>
      </w:r>
    </w:p>
    <w:p w:rsidR="004D33C4" w:rsidRDefault="004D33C4" w:rsidP="004D33C4">
      <w:pPr>
        <w:pStyle w:val="ListeParagraf"/>
        <w:numPr>
          <w:ilvl w:val="0"/>
          <w:numId w:val="1"/>
        </w:numPr>
        <w:spacing w:line="360" w:lineRule="auto"/>
      </w:pPr>
      <w:r>
        <w:t>S</w:t>
      </w:r>
      <w:r w:rsidRPr="004D33C4">
        <w:t>hear load measurement device (proving ring)</w:t>
      </w:r>
    </w:p>
    <w:p w:rsidR="004D33C4" w:rsidRDefault="004D33C4" w:rsidP="004D33C4">
      <w:pPr>
        <w:pStyle w:val="ListeParagraf"/>
        <w:numPr>
          <w:ilvl w:val="0"/>
          <w:numId w:val="1"/>
        </w:numPr>
        <w:spacing w:line="360" w:lineRule="auto"/>
      </w:pPr>
      <w:r>
        <w:t>H</w:t>
      </w:r>
      <w:r w:rsidRPr="004D33C4">
        <w:t>orizontal and vertical displacement measurement devices (dial gages)</w:t>
      </w:r>
    </w:p>
    <w:p w:rsidR="004D33C4" w:rsidRDefault="004D33C4" w:rsidP="004D33C4">
      <w:pPr>
        <w:pStyle w:val="ListeParagraf"/>
        <w:numPr>
          <w:ilvl w:val="0"/>
          <w:numId w:val="1"/>
        </w:numPr>
        <w:spacing w:line="360" w:lineRule="auto"/>
      </w:pPr>
      <w:r>
        <w:t>G</w:t>
      </w:r>
      <w:r w:rsidRPr="004D33C4">
        <w:t xml:space="preserve">auging disc </w:t>
      </w:r>
      <w:r>
        <w:t>(or block for square specimens)</w:t>
      </w:r>
    </w:p>
    <w:p w:rsidR="004D33C4" w:rsidRPr="004D33C4" w:rsidRDefault="004D33C4" w:rsidP="004D33C4">
      <w:pPr>
        <w:pStyle w:val="ListeParagraf"/>
        <w:numPr>
          <w:ilvl w:val="0"/>
          <w:numId w:val="1"/>
        </w:numPr>
        <w:spacing w:line="360" w:lineRule="auto"/>
      </w:pPr>
      <w:r>
        <w:t>D</w:t>
      </w:r>
      <w:r w:rsidRPr="004D33C4">
        <w:t xml:space="preserve">ish, spoon, </w:t>
      </w:r>
      <w:r>
        <w:t>spatula</w:t>
      </w:r>
    </w:p>
    <w:p w:rsidR="005936C5" w:rsidRPr="009806D9" w:rsidRDefault="005936C5" w:rsidP="009806D9">
      <w:pPr>
        <w:pStyle w:val="Balk1"/>
        <w:jc w:val="center"/>
        <w:rPr>
          <w:b/>
        </w:rPr>
      </w:pPr>
      <w:bookmarkStart w:id="3" w:name="_Toc405765870"/>
      <w:r w:rsidRPr="009806D9">
        <w:rPr>
          <w:b/>
        </w:rPr>
        <w:t>Methodology</w:t>
      </w:r>
      <w:bookmarkEnd w:id="3"/>
    </w:p>
    <w:p w:rsidR="00116CE8" w:rsidRDefault="00116CE8" w:rsidP="00116CE8">
      <w:pPr>
        <w:pStyle w:val="Balk2"/>
        <w:jc w:val="center"/>
      </w:pPr>
    </w:p>
    <w:p w:rsidR="00116CE8" w:rsidRDefault="00116CE8" w:rsidP="00116CE8">
      <w:pPr>
        <w:pStyle w:val="Balk2"/>
        <w:jc w:val="center"/>
      </w:pPr>
    </w:p>
    <w:p w:rsidR="00116CE8" w:rsidRDefault="000E2B6A" w:rsidP="00116CE8">
      <w:pPr>
        <w:pStyle w:val="Balk2"/>
        <w:jc w:val="center"/>
      </w:pPr>
      <w:bookmarkStart w:id="4" w:name="_Toc405765871"/>
      <w:r>
        <w:t>General Rules</w:t>
      </w:r>
      <w:bookmarkEnd w:id="4"/>
    </w:p>
    <w:p w:rsidR="00116CE8" w:rsidRPr="00116CE8" w:rsidRDefault="00116CE8" w:rsidP="00116CE8"/>
    <w:p w:rsidR="000E2B6A" w:rsidRDefault="000E2B6A" w:rsidP="000E2B6A">
      <w:pPr>
        <w:pStyle w:val="ListeParagraf"/>
        <w:numPr>
          <w:ilvl w:val="0"/>
          <w:numId w:val="10"/>
        </w:numPr>
        <w:jc w:val="both"/>
      </w:pPr>
      <w:r w:rsidRPr="000E2B6A">
        <w:t xml:space="preserve">The specimen in this test is </w:t>
      </w:r>
      <w:proofErr w:type="spellStart"/>
      <w:r w:rsidRPr="000E2B6A">
        <w:t>cohesionless</w:t>
      </w:r>
      <w:proofErr w:type="spellEnd"/>
      <w:r w:rsidRPr="000E2B6A">
        <w:t xml:space="preserve">. </w:t>
      </w:r>
      <w:proofErr w:type="spellStart"/>
      <w:r w:rsidRPr="000E2B6A">
        <w:t>Cohesionless</w:t>
      </w:r>
      <w:proofErr w:type="spellEnd"/>
      <w:r w:rsidRPr="000E2B6A">
        <w:t xml:space="preserve"> soils change density, and therefore</w:t>
      </w:r>
      <w:r>
        <w:t xml:space="preserve"> </w:t>
      </w:r>
      <w:r w:rsidRPr="000E2B6A">
        <w:t xml:space="preserve">mechanical properties, when subject to vibrations. Therefore, </w:t>
      </w:r>
      <w:r>
        <w:t xml:space="preserve">avoid bumping the table during </w:t>
      </w:r>
      <w:r w:rsidRPr="000E2B6A">
        <w:t>preparation, shaking the shear box during assembly, or bum</w:t>
      </w:r>
      <w:r>
        <w:t>ping the setup during the test.</w:t>
      </w:r>
    </w:p>
    <w:p w:rsidR="000E2B6A" w:rsidRPr="000E2B6A" w:rsidRDefault="000E2B6A" w:rsidP="000E2B6A">
      <w:pPr>
        <w:pStyle w:val="ListeParagraf"/>
        <w:numPr>
          <w:ilvl w:val="0"/>
          <w:numId w:val="11"/>
        </w:numPr>
        <w:jc w:val="both"/>
      </w:pPr>
      <w:r w:rsidRPr="000E2B6A">
        <w:t>It is important that your preparation procedure is repeatable, and y</w:t>
      </w:r>
      <w:r>
        <w:t xml:space="preserve">ou do not vibrate the specimen </w:t>
      </w:r>
      <w:r w:rsidRPr="000E2B6A">
        <w:t>in any of the steps after specimen constitution.</w:t>
      </w:r>
    </w:p>
    <w:p w:rsidR="000E2B6A" w:rsidRPr="000E2B6A" w:rsidRDefault="000E2B6A" w:rsidP="000E2B6A">
      <w:pPr>
        <w:pStyle w:val="Balk2"/>
        <w:jc w:val="center"/>
        <w:rPr>
          <w:rFonts w:eastAsiaTheme="minorHAnsi"/>
        </w:rPr>
      </w:pPr>
      <w:bookmarkStart w:id="5" w:name="_Toc405765872"/>
      <w:r w:rsidRPr="000E2B6A">
        <w:rPr>
          <w:rFonts w:eastAsiaTheme="minorHAnsi"/>
        </w:rPr>
        <w:t>Calibration</w:t>
      </w:r>
      <w:bookmarkEnd w:id="5"/>
    </w:p>
    <w:p w:rsidR="000E2B6A" w:rsidRPr="000E2B6A" w:rsidRDefault="000E2B6A" w:rsidP="000E2B6A"/>
    <w:p w:rsidR="000E2B6A" w:rsidRPr="000E2B6A" w:rsidRDefault="000E2B6A" w:rsidP="000E2B6A">
      <w:r w:rsidRPr="000E2B6A">
        <w:t>1- Note the mechanical advantage of the loading arm. This is used as 10 in this test.</w:t>
      </w:r>
    </w:p>
    <w:p w:rsidR="000E2B6A" w:rsidRPr="000E2B6A" w:rsidRDefault="000E2B6A" w:rsidP="00843F9F">
      <w:pPr>
        <w:jc w:val="both"/>
      </w:pPr>
      <w:r w:rsidRPr="000E2B6A">
        <w:t>2- Notice the load transmitted by the lever arm to the specimen is n</w:t>
      </w:r>
      <w:r>
        <w:t>ot zero when there is no load.</w:t>
      </w:r>
      <w:r w:rsidR="00843F9F">
        <w:t xml:space="preserve"> </w:t>
      </w:r>
      <w:r w:rsidRPr="000E2B6A">
        <w:t>Weigh the individual components that will rest on the specimen (i</w:t>
      </w:r>
      <w:r>
        <w:t xml:space="preserve">.e. top cap, porous stone, top </w:t>
      </w:r>
      <w:r w:rsidRPr="000E2B6A">
        <w:t xml:space="preserve">half of the shear box) to figure out the zero load. (If the loading arm itself is not balanced, a balancing load can be figured </w:t>
      </w:r>
      <w:r w:rsidRPr="000E2B6A">
        <w:lastRenderedPageBreak/>
        <w:t>out by applying external weights on one side.) For our equipment, the arm is balanced, so zero load on the lever arm corr</w:t>
      </w:r>
      <w:r>
        <w:t xml:space="preserve">esponds to the total weight of </w:t>
      </w:r>
      <w:r w:rsidRPr="000E2B6A">
        <w:t>components on the specimen (about 1.5 kg).</w:t>
      </w:r>
    </w:p>
    <w:p w:rsidR="000E2B6A" w:rsidRPr="000E2B6A" w:rsidRDefault="000E2B6A" w:rsidP="004C7182">
      <w:pPr>
        <w:jc w:val="both"/>
      </w:pPr>
      <w:r w:rsidRPr="000E2B6A">
        <w:t xml:space="preserve">3- Note which bolts restrain relative movement of the two halves of </w:t>
      </w:r>
      <w:r>
        <w:t xml:space="preserve">the shear box, and which bolts </w:t>
      </w:r>
      <w:r w:rsidRPr="000E2B6A">
        <w:t xml:space="preserve">separate the two halves from each other. </w:t>
      </w:r>
    </w:p>
    <w:p w:rsidR="000E2B6A" w:rsidRPr="000E2B6A" w:rsidRDefault="000E2B6A" w:rsidP="004C7182">
      <w:pPr>
        <w:jc w:val="both"/>
      </w:pPr>
      <w:r w:rsidRPr="000E2B6A">
        <w:t xml:space="preserve">4- Determine how many turns of the separator bolts make a </w:t>
      </w:r>
      <w:r>
        <w:t xml:space="preserve">gap equal to the maximum grain </w:t>
      </w:r>
      <w:r w:rsidRPr="000E2B6A">
        <w:t>diameter. This can be done by measuring the thread width on the</w:t>
      </w:r>
      <w:r>
        <w:t xml:space="preserve"> bolts. The bolts of our setup </w:t>
      </w:r>
      <w:r w:rsidRPr="000E2B6A">
        <w:t>have 0.8 mm threads.</w:t>
      </w:r>
    </w:p>
    <w:p w:rsidR="000E2B6A" w:rsidRPr="000E2B6A" w:rsidRDefault="000E2B6A" w:rsidP="004C7182">
      <w:pPr>
        <w:jc w:val="both"/>
      </w:pPr>
      <w:r w:rsidRPr="000E2B6A">
        <w:t>5- Adjust the separator bolts such that they barely touch the bottom ha</w:t>
      </w:r>
      <w:r>
        <w:t xml:space="preserve">lf. Fix the two halves to each </w:t>
      </w:r>
      <w:r w:rsidRPr="000E2B6A">
        <w:t>other by the restraining bolts.</w:t>
      </w:r>
    </w:p>
    <w:p w:rsidR="000E2B6A" w:rsidRPr="000E2B6A" w:rsidRDefault="000E2B6A" w:rsidP="004C7182">
      <w:pPr>
        <w:jc w:val="both"/>
      </w:pPr>
      <w:r w:rsidRPr="000E2B6A">
        <w:t>6- Measure inner diameter or width of the box.</w:t>
      </w:r>
    </w:p>
    <w:p w:rsidR="000E2B6A" w:rsidRPr="000E2B6A" w:rsidRDefault="000E2B6A" w:rsidP="004C7182">
      <w:pPr>
        <w:jc w:val="both"/>
      </w:pPr>
      <w:r w:rsidRPr="000E2B6A">
        <w:t>7- Place the lower porous stone into the box.</w:t>
      </w:r>
    </w:p>
    <w:p w:rsidR="000E2B6A" w:rsidRPr="000E2B6A" w:rsidRDefault="000E2B6A" w:rsidP="004C7182">
      <w:pPr>
        <w:jc w:val="both"/>
      </w:pPr>
      <w:r w:rsidRPr="000E2B6A">
        <w:t>8- Place the ribbed plate into the box, with ribs facing up and perpendicular to shearing.</w:t>
      </w:r>
    </w:p>
    <w:p w:rsidR="000E2B6A" w:rsidRPr="000E2B6A" w:rsidRDefault="000E2B6A" w:rsidP="004C7182">
      <w:pPr>
        <w:jc w:val="both"/>
      </w:pPr>
      <w:r w:rsidRPr="000E2B6A">
        <w:t>9- Measure the depth of the shear box from its top to the ribbed plate.</w:t>
      </w:r>
    </w:p>
    <w:p w:rsidR="000E2B6A" w:rsidRPr="000E2B6A" w:rsidRDefault="000E2B6A" w:rsidP="004C7182">
      <w:pPr>
        <w:jc w:val="both"/>
      </w:pPr>
      <w:r w:rsidRPr="000E2B6A">
        <w:t>10- Measure the height of the small diameter (or width) portion of the gauging disc (or block).</w:t>
      </w:r>
    </w:p>
    <w:p w:rsidR="000E2B6A" w:rsidRPr="000E2B6A" w:rsidRDefault="000E2B6A" w:rsidP="004C7182">
      <w:pPr>
        <w:jc w:val="both"/>
      </w:pPr>
      <w:r w:rsidRPr="000E2B6A">
        <w:t>11- Calculate specimen volume from the measurements in steps 6, 9 and 10 above.</w:t>
      </w:r>
    </w:p>
    <w:p w:rsidR="000E2B6A" w:rsidRPr="000E2B6A" w:rsidRDefault="000E2B6A" w:rsidP="000E2B6A">
      <w:pPr>
        <w:pStyle w:val="Balk2"/>
        <w:jc w:val="center"/>
        <w:rPr>
          <w:rFonts w:eastAsiaTheme="minorHAnsi"/>
        </w:rPr>
      </w:pPr>
    </w:p>
    <w:p w:rsidR="000E2B6A" w:rsidRPr="000E2B6A" w:rsidRDefault="000E2B6A" w:rsidP="000E2B6A">
      <w:pPr>
        <w:pStyle w:val="Balk2"/>
        <w:jc w:val="center"/>
        <w:rPr>
          <w:rFonts w:eastAsiaTheme="minorHAnsi"/>
        </w:rPr>
      </w:pPr>
      <w:bookmarkStart w:id="6" w:name="_Toc405765873"/>
      <w:r w:rsidRPr="000E2B6A">
        <w:rPr>
          <w:rFonts w:eastAsiaTheme="minorHAnsi"/>
        </w:rPr>
        <w:t>Specimen</w:t>
      </w:r>
      <w:bookmarkEnd w:id="6"/>
    </w:p>
    <w:p w:rsidR="000E2B6A" w:rsidRPr="000E2B6A" w:rsidRDefault="000E2B6A" w:rsidP="000E2B6A"/>
    <w:p w:rsidR="000E2B6A" w:rsidRPr="000E2B6A" w:rsidRDefault="000E2B6A" w:rsidP="004C7182">
      <w:pPr>
        <w:jc w:val="both"/>
      </w:pPr>
      <w:r w:rsidRPr="000E2B6A">
        <w:t>1- Constitute the specimen in the shear box. This process may v</w:t>
      </w:r>
      <w:r>
        <w:t xml:space="preserve">ary depending on soil type and </w:t>
      </w:r>
      <w:r w:rsidRPr="000E2B6A">
        <w:t xml:space="preserve">desired density. </w:t>
      </w:r>
    </w:p>
    <w:p w:rsidR="000E2B6A" w:rsidRPr="000E2B6A" w:rsidRDefault="000E2B6A" w:rsidP="004C7182">
      <w:pPr>
        <w:jc w:val="both"/>
      </w:pPr>
      <w:r w:rsidRPr="000E2B6A">
        <w:t>a) Calculate the mass of sample material to be placed in the shear</w:t>
      </w:r>
      <w:r>
        <w:t xml:space="preserve"> box, from volume of the shear </w:t>
      </w:r>
      <w:r w:rsidRPr="000E2B6A">
        <w:t xml:space="preserve">box and the desired density. </w:t>
      </w:r>
    </w:p>
    <w:p w:rsidR="000E2B6A" w:rsidRPr="000E2B6A" w:rsidRDefault="000E2B6A" w:rsidP="004C7182">
      <w:pPr>
        <w:jc w:val="both"/>
      </w:pPr>
      <w:r w:rsidRPr="000E2B6A">
        <w:t>b) Weigh a batch of soil such that it has exactly the required mass.</w:t>
      </w:r>
    </w:p>
    <w:p w:rsidR="000E2B6A" w:rsidRPr="000E2B6A" w:rsidRDefault="000E2B6A" w:rsidP="004C7182">
      <w:pPr>
        <w:jc w:val="both"/>
      </w:pPr>
      <w:r w:rsidRPr="000E2B6A">
        <w:t>c) Place the required mass of soil into the box (without spilling any soil outside the box).</w:t>
      </w:r>
    </w:p>
    <w:p w:rsidR="000E2B6A" w:rsidRPr="000E2B6A" w:rsidRDefault="000E2B6A" w:rsidP="004C7182">
      <w:pPr>
        <w:jc w:val="both"/>
      </w:pPr>
      <w:r w:rsidRPr="000E2B6A">
        <w:t>d) Smoothen the soil surface by fingers or a spatula.</w:t>
      </w:r>
    </w:p>
    <w:p w:rsidR="000E2B6A" w:rsidRPr="000E2B6A" w:rsidRDefault="000E2B6A" w:rsidP="004C7182">
      <w:pPr>
        <w:jc w:val="both"/>
      </w:pPr>
      <w:r w:rsidRPr="000E2B6A">
        <w:t>e) Compact the soil to desired density by pressing and rotating the gauging disc on it.</w:t>
      </w:r>
    </w:p>
    <w:p w:rsidR="000E2B6A" w:rsidRPr="000E2B6A" w:rsidRDefault="000E2B6A" w:rsidP="004C7182">
      <w:pPr>
        <w:jc w:val="both"/>
      </w:pPr>
      <w:r w:rsidRPr="000E2B6A">
        <w:t>2- Place the ribbed plate with ribs facing down and perpendicular to shearing</w:t>
      </w:r>
    </w:p>
    <w:p w:rsidR="000E2B6A" w:rsidRPr="000E2B6A" w:rsidRDefault="000E2B6A" w:rsidP="004C7182">
      <w:pPr>
        <w:jc w:val="both"/>
      </w:pPr>
      <w:r w:rsidRPr="000E2B6A">
        <w:t>3- Place the top porous stone.</w:t>
      </w:r>
    </w:p>
    <w:p w:rsidR="000E2B6A" w:rsidRPr="000E2B6A" w:rsidRDefault="000E2B6A" w:rsidP="004C7182">
      <w:pPr>
        <w:jc w:val="both"/>
      </w:pPr>
      <w:r w:rsidRPr="000E2B6A">
        <w:t>4- Place the top cap (and the steel ball for many other setups).</w:t>
      </w:r>
    </w:p>
    <w:p w:rsidR="000E2B6A" w:rsidRPr="000E2B6A" w:rsidRDefault="000E2B6A" w:rsidP="004C7182">
      <w:pPr>
        <w:jc w:val="both"/>
      </w:pPr>
      <w:r w:rsidRPr="000E2B6A">
        <w:t>5- Place and connect the shear box into th</w:t>
      </w:r>
      <w:r>
        <w:t>e frame with minimal vibration.</w:t>
      </w:r>
    </w:p>
    <w:p w:rsidR="000E2B6A" w:rsidRDefault="000E2B6A" w:rsidP="004C7182">
      <w:pPr>
        <w:jc w:val="both"/>
      </w:pPr>
      <w:r w:rsidRPr="000E2B6A">
        <w:t>6</w:t>
      </w:r>
      <w:r>
        <w:t>- Remove the restraining bolts.</w:t>
      </w:r>
    </w:p>
    <w:p w:rsidR="000E2B6A" w:rsidRPr="000E2B6A" w:rsidRDefault="000E2B6A" w:rsidP="004C7182">
      <w:pPr>
        <w:jc w:val="both"/>
      </w:pPr>
      <w:r w:rsidRPr="000E2B6A">
        <w:t>7- Create a gap between two halves of the shear box, equal to the m</w:t>
      </w:r>
      <w:r>
        <w:t xml:space="preserve">aximum grain size, by rotating </w:t>
      </w:r>
      <w:r w:rsidRPr="000E2B6A">
        <w:t>the separator bolts by the amount determine</w:t>
      </w:r>
      <w:r w:rsidR="004C7182">
        <w:t>d in calibration Step 4.</w:t>
      </w:r>
    </w:p>
    <w:p w:rsidR="000E2B6A" w:rsidRPr="000E2B6A" w:rsidRDefault="000E2B6A" w:rsidP="000E2B6A">
      <w:pPr>
        <w:pStyle w:val="Balk2"/>
        <w:jc w:val="center"/>
        <w:rPr>
          <w:rFonts w:eastAsiaTheme="minorHAnsi"/>
        </w:rPr>
      </w:pPr>
      <w:bookmarkStart w:id="7" w:name="_Toc405765874"/>
      <w:r w:rsidRPr="000E2B6A">
        <w:rPr>
          <w:rFonts w:eastAsiaTheme="minorHAnsi"/>
        </w:rPr>
        <w:lastRenderedPageBreak/>
        <w:t>Test Procedure</w:t>
      </w:r>
      <w:bookmarkEnd w:id="7"/>
    </w:p>
    <w:p w:rsidR="000E2B6A" w:rsidRPr="000E2B6A" w:rsidRDefault="000E2B6A" w:rsidP="004C7182">
      <w:pPr>
        <w:jc w:val="both"/>
      </w:pPr>
    </w:p>
    <w:p w:rsidR="000E2B6A" w:rsidRPr="000E2B6A" w:rsidRDefault="000E2B6A" w:rsidP="004C7182">
      <w:pPr>
        <w:jc w:val="both"/>
      </w:pPr>
      <w:r w:rsidRPr="000E2B6A">
        <w:t>1- Affix the measurement devices to the shear box.</w:t>
      </w:r>
    </w:p>
    <w:p w:rsidR="000E2B6A" w:rsidRPr="000E2B6A" w:rsidRDefault="000E2B6A" w:rsidP="004C7182">
      <w:pPr>
        <w:jc w:val="both"/>
      </w:pPr>
      <w:r w:rsidRPr="000E2B6A">
        <w:t>2- Take zero readings of the displacement measurement devices.</w:t>
      </w:r>
    </w:p>
    <w:p w:rsidR="000E2B6A" w:rsidRPr="000E2B6A" w:rsidRDefault="000E2B6A" w:rsidP="004C7182">
      <w:pPr>
        <w:jc w:val="both"/>
      </w:pPr>
      <w:r w:rsidRPr="000E2B6A">
        <w:t>3- Calculate the normal force you must add (based on calibration ste</w:t>
      </w:r>
      <w:r>
        <w:t xml:space="preserve">p 2) to achieve desired normal </w:t>
      </w:r>
      <w:r w:rsidRPr="000E2B6A">
        <w:t xml:space="preserve">stress. </w:t>
      </w:r>
    </w:p>
    <w:p w:rsidR="000E2B6A" w:rsidRPr="000E2B6A" w:rsidRDefault="000E2B6A" w:rsidP="004C7182">
      <w:pPr>
        <w:jc w:val="both"/>
      </w:pPr>
      <w:r w:rsidRPr="000E2B6A">
        <w:t>4- Apply the vertical load. The loading lever must remain horizont</w:t>
      </w:r>
      <w:r>
        <w:t xml:space="preserve">al – if it does not, adjust by </w:t>
      </w:r>
      <w:r w:rsidRPr="000E2B6A">
        <w:t>rotating the loading screw.</w:t>
      </w:r>
    </w:p>
    <w:p w:rsidR="000E2B6A" w:rsidRDefault="000E2B6A" w:rsidP="004C7182">
      <w:pPr>
        <w:jc w:val="both"/>
      </w:pPr>
      <w:r w:rsidRPr="000E2B6A">
        <w:t>5- Record vertica</w:t>
      </w:r>
      <w:r>
        <w:t>l settlement.</w:t>
      </w:r>
    </w:p>
    <w:p w:rsidR="000E2B6A" w:rsidRDefault="000E2B6A" w:rsidP="004C7182">
      <w:pPr>
        <w:jc w:val="both"/>
      </w:pPr>
      <w:r>
        <w:t>6- Loosen the separator bolts.</w:t>
      </w:r>
    </w:p>
    <w:p w:rsidR="000E2B6A" w:rsidRPr="000E2B6A" w:rsidRDefault="000E2B6A" w:rsidP="004C7182">
      <w:pPr>
        <w:jc w:val="both"/>
      </w:pPr>
      <w:r w:rsidRPr="000E2B6A">
        <w:t xml:space="preserve">7- Adjust the motor to shear the specimen at about 0.7 mm/min. </w:t>
      </w:r>
    </w:p>
    <w:p w:rsidR="000E2B6A" w:rsidRPr="000E2B6A" w:rsidRDefault="000E2B6A" w:rsidP="004C7182">
      <w:pPr>
        <w:jc w:val="both"/>
      </w:pPr>
      <w:r w:rsidRPr="000E2B6A">
        <w:t>8- Start shearing, read the shear force at every 0.1 mm displace</w:t>
      </w:r>
      <w:r>
        <w:t xml:space="preserve">ment at the beginning. You can </w:t>
      </w:r>
      <w:r w:rsidRPr="000E2B6A">
        <w:t xml:space="preserve">widen the interval once the test passes the point of peak shear </w:t>
      </w:r>
      <w:r>
        <w:t xml:space="preserve">force. Also record the elapsed </w:t>
      </w:r>
      <w:r w:rsidRPr="000E2B6A">
        <w:t>time every 5-10 readings, in order to verify the rate of shear displacement.</w:t>
      </w:r>
    </w:p>
    <w:p w:rsidR="000E2B6A" w:rsidRPr="000E2B6A" w:rsidRDefault="000E2B6A" w:rsidP="004C7182">
      <w:pPr>
        <w:jc w:val="both"/>
      </w:pPr>
      <w:r w:rsidRPr="000E2B6A">
        <w:t xml:space="preserve">9- Stop beyond the observation of peak shear force, or at 3mm shear displacement. </w:t>
      </w:r>
    </w:p>
    <w:p w:rsidR="000E2B6A" w:rsidRDefault="000E2B6A" w:rsidP="004C7182">
      <w:pPr>
        <w:jc w:val="both"/>
      </w:pPr>
      <w:r w:rsidRPr="000E2B6A">
        <w:t>10- Repeat steps 2 to 9 at twice the vertical load. (In a real test, a ne</w:t>
      </w:r>
      <w:r>
        <w:t xml:space="preserve">w specimen is prepared and the </w:t>
      </w:r>
      <w:r w:rsidRPr="000E2B6A">
        <w:t>test is restarted at each normal load. But in this lab session, due</w:t>
      </w:r>
      <w:r>
        <w:t xml:space="preserve"> to time constraints, the same </w:t>
      </w:r>
      <w:r w:rsidRPr="000E2B6A">
        <w:t xml:space="preserve">specimen will be used, and shearing will continue from the final shear deformation reading of </w:t>
      </w:r>
      <w:r>
        <w:t xml:space="preserve">the </w:t>
      </w:r>
      <w:r w:rsidRPr="000E2B6A">
        <w:t>first loading.)</w:t>
      </w:r>
    </w:p>
    <w:p w:rsidR="000E2B6A" w:rsidRDefault="000E2B6A" w:rsidP="000E2B6A"/>
    <w:p w:rsidR="001313CA" w:rsidRDefault="001313CA" w:rsidP="000E2B6A"/>
    <w:p w:rsidR="001313CA" w:rsidRDefault="001313CA" w:rsidP="000E2B6A"/>
    <w:p w:rsidR="000E2B6A" w:rsidRDefault="000E2B6A" w:rsidP="000E2B6A"/>
    <w:p w:rsidR="005936C5" w:rsidRPr="000E2B6A" w:rsidRDefault="005936C5" w:rsidP="000E2B6A">
      <w:pPr>
        <w:pStyle w:val="Balk1"/>
        <w:jc w:val="center"/>
        <w:rPr>
          <w:b/>
        </w:rPr>
      </w:pPr>
      <w:bookmarkStart w:id="8" w:name="_Toc405765875"/>
      <w:r w:rsidRPr="000E2B6A">
        <w:rPr>
          <w:b/>
        </w:rPr>
        <w:t>Results</w:t>
      </w:r>
      <w:bookmarkEnd w:id="8"/>
    </w:p>
    <w:p w:rsidR="005936C5" w:rsidRDefault="005936C5" w:rsidP="00116CE8"/>
    <w:p w:rsidR="00B7784D" w:rsidRDefault="00B039AB" w:rsidP="008411B8">
      <w:pPr>
        <w:spacing w:line="360" w:lineRule="auto"/>
        <w:rPr>
          <w:sz w:val="20"/>
          <w:szCs w:val="20"/>
        </w:rPr>
      </w:pPr>
      <w:r w:rsidRPr="00B039AB">
        <w:t xml:space="preserve">               All measurements of the experiment and results are</w:t>
      </w:r>
      <w:r>
        <w:t xml:space="preserve"> on the </w:t>
      </w:r>
      <w:r w:rsidRPr="00B039AB">
        <w:t>data sheet</w:t>
      </w:r>
      <w:r w:rsidR="00A934D1">
        <w:t xml:space="preserve"> that I prepared on Excel</w:t>
      </w:r>
      <w:r>
        <w:t>, related graph</w:t>
      </w:r>
      <w:r w:rsidR="00AA2AD5">
        <w:t>s</w:t>
      </w:r>
      <w:r w:rsidRPr="00B039AB">
        <w:t xml:space="preserve"> </w:t>
      </w:r>
      <w:r w:rsidR="00AA2AD5">
        <w:t>are</w:t>
      </w:r>
      <w:r w:rsidRPr="00B039AB">
        <w:t xml:space="preserve"> at the end of the report.</w:t>
      </w:r>
      <w:r w:rsidR="00116CE8">
        <w:rPr>
          <w:sz w:val="20"/>
          <w:szCs w:val="20"/>
        </w:rPr>
        <w:t xml:space="preserve"> </w:t>
      </w:r>
    </w:p>
    <w:p w:rsidR="001313CA" w:rsidRDefault="001313CA" w:rsidP="008411B8">
      <w:pPr>
        <w:spacing w:line="360" w:lineRule="auto"/>
        <w:rPr>
          <w:sz w:val="20"/>
          <w:szCs w:val="20"/>
        </w:rPr>
      </w:pPr>
    </w:p>
    <w:p w:rsidR="001313CA" w:rsidRDefault="001313CA" w:rsidP="008411B8">
      <w:pPr>
        <w:spacing w:line="360" w:lineRule="auto"/>
        <w:rPr>
          <w:sz w:val="20"/>
          <w:szCs w:val="20"/>
        </w:rPr>
      </w:pPr>
    </w:p>
    <w:p w:rsidR="001313CA" w:rsidRDefault="001313CA" w:rsidP="008411B8">
      <w:pPr>
        <w:spacing w:line="360" w:lineRule="auto"/>
        <w:rPr>
          <w:sz w:val="20"/>
          <w:szCs w:val="20"/>
        </w:rPr>
      </w:pPr>
    </w:p>
    <w:p w:rsidR="001313CA" w:rsidRPr="005936C5" w:rsidRDefault="001313CA" w:rsidP="008411B8">
      <w:pPr>
        <w:spacing w:line="360" w:lineRule="auto"/>
      </w:pPr>
    </w:p>
    <w:p w:rsidR="005936C5" w:rsidRPr="00BD1626" w:rsidRDefault="005936C5" w:rsidP="005936C5">
      <w:pPr>
        <w:pStyle w:val="Balk1"/>
        <w:jc w:val="center"/>
        <w:rPr>
          <w:b/>
        </w:rPr>
      </w:pPr>
      <w:bookmarkStart w:id="9" w:name="_Toc405765876"/>
      <w:r w:rsidRPr="00BD1626">
        <w:rPr>
          <w:b/>
        </w:rPr>
        <w:lastRenderedPageBreak/>
        <w:t>Calculations</w:t>
      </w:r>
      <w:bookmarkEnd w:id="9"/>
    </w:p>
    <w:p w:rsidR="00EE66E4" w:rsidRDefault="00EE66E4" w:rsidP="00EE66E4"/>
    <w:p w:rsidR="00B171E9" w:rsidRDefault="00EE66E4" w:rsidP="00EE66E4">
      <w:r>
        <w:t xml:space="preserve">          </w:t>
      </w:r>
      <w:r w:rsidRPr="00EE66E4">
        <w:t xml:space="preserve">I have prepared an Excel file for the data sheet and in order to calculate the asked values. And </w:t>
      </w:r>
      <w:r w:rsidR="00B7784D">
        <w:t>I showed all values in the tables</w:t>
      </w:r>
      <w:r w:rsidRPr="00EE66E4">
        <w:t>.</w:t>
      </w:r>
    </w:p>
    <w:p w:rsidR="00636CF9" w:rsidRDefault="00636CF9" w:rsidP="00EE66E4"/>
    <w:p w:rsidR="00636CF9" w:rsidRDefault="00636CF9" w:rsidP="00784EB7">
      <w:pPr>
        <w:pStyle w:val="ListeParagraf"/>
        <w:numPr>
          <w:ilvl w:val="0"/>
          <w:numId w:val="11"/>
        </w:numPr>
      </w:pPr>
      <w:r>
        <w:t>Density of the specimen</w:t>
      </w:r>
    </w:p>
    <w:p w:rsidR="00636CF9" w:rsidRDefault="00636CF9" w:rsidP="00636CF9"/>
    <w:p w:rsidR="00636CF9" w:rsidRPr="001313CA" w:rsidRDefault="00636CF9" w:rsidP="00636CF9">
      <w:pPr>
        <w:rPr>
          <w:b/>
        </w:rPr>
      </w:pPr>
      <w:r w:rsidRPr="001313CA">
        <w:rPr>
          <w:b/>
        </w:rPr>
        <w:t>ρ = M/V = 100 / (3166.921744*20.5</w:t>
      </w:r>
      <w:proofErr w:type="gramStart"/>
      <w:r w:rsidRPr="001313CA">
        <w:rPr>
          <w:b/>
        </w:rPr>
        <w:t>)=</w:t>
      </w:r>
      <w:proofErr w:type="gramEnd"/>
      <w:r w:rsidRPr="001313CA">
        <w:rPr>
          <w:b/>
        </w:rPr>
        <w:t>1.54*10-3 g/mm</w:t>
      </w:r>
      <w:r w:rsidRPr="001313CA">
        <w:rPr>
          <w:b/>
          <w:vertAlign w:val="superscript"/>
        </w:rPr>
        <w:t>3</w:t>
      </w:r>
      <w:r w:rsidRPr="001313CA">
        <w:rPr>
          <w:b/>
        </w:rPr>
        <w:t xml:space="preserve"> =1.54 g/cm</w:t>
      </w:r>
      <w:r w:rsidRPr="001313CA">
        <w:rPr>
          <w:b/>
          <w:vertAlign w:val="superscript"/>
        </w:rPr>
        <w:t>3</w:t>
      </w:r>
    </w:p>
    <w:p w:rsidR="00636CF9" w:rsidRDefault="00636CF9" w:rsidP="00636CF9"/>
    <w:p w:rsidR="00636CF9" w:rsidRDefault="00636CF9" w:rsidP="00784EB7">
      <w:pPr>
        <w:pStyle w:val="ListeParagraf"/>
        <w:numPr>
          <w:ilvl w:val="0"/>
          <w:numId w:val="15"/>
        </w:numPr>
      </w:pPr>
      <w:r>
        <w:t xml:space="preserve">u, </w:t>
      </w:r>
      <w:r w:rsidRPr="00636CF9">
        <w:t>δ</w:t>
      </w:r>
      <w:r>
        <w:t xml:space="preserve"> and v values are converted from division to mm as follows:</w:t>
      </w:r>
    </w:p>
    <w:p w:rsidR="00636CF9" w:rsidRDefault="00636CF9" w:rsidP="00636CF9"/>
    <w:p w:rsidR="00636CF9" w:rsidRDefault="00636CF9" w:rsidP="00636CF9">
      <w:pPr>
        <w:rPr>
          <w:b/>
        </w:rPr>
      </w:pPr>
      <w:r w:rsidRPr="001313CA">
        <w:rPr>
          <w:b/>
        </w:rPr>
        <w:t>u = (u*)*0.01</w:t>
      </w:r>
    </w:p>
    <w:p w:rsidR="00636CF9" w:rsidRPr="00636CF9" w:rsidRDefault="00636CF9" w:rsidP="00636CF9">
      <w:pPr>
        <w:rPr>
          <w:b/>
        </w:rPr>
      </w:pPr>
      <w:r w:rsidRPr="001313CA">
        <w:rPr>
          <w:b/>
        </w:rPr>
        <w:t>v = (v*)*0.01</w:t>
      </w:r>
    </w:p>
    <w:p w:rsidR="00636CF9" w:rsidRDefault="00636CF9" w:rsidP="00636CF9">
      <w:pPr>
        <w:rPr>
          <w:b/>
        </w:rPr>
      </w:pPr>
      <w:r w:rsidRPr="00636CF9">
        <w:rPr>
          <w:b/>
        </w:rPr>
        <w:t>δ</w:t>
      </w:r>
      <w:r>
        <w:rPr>
          <w:b/>
        </w:rPr>
        <w:t xml:space="preserve"> </w:t>
      </w:r>
      <w:r w:rsidRPr="00636CF9">
        <w:rPr>
          <w:b/>
        </w:rPr>
        <w:t>=</w:t>
      </w:r>
      <w:r>
        <w:rPr>
          <w:b/>
        </w:rPr>
        <w:t xml:space="preserve"> </w:t>
      </w:r>
      <w:r w:rsidRPr="00636CF9">
        <w:rPr>
          <w:b/>
        </w:rPr>
        <w:t>(δ*)*0.01</w:t>
      </w:r>
    </w:p>
    <w:p w:rsidR="002B7C8D" w:rsidRDefault="002B7C8D" w:rsidP="00636CF9">
      <w:pPr>
        <w:rPr>
          <w:b/>
        </w:rPr>
      </w:pPr>
    </w:p>
    <w:p w:rsidR="002B7C8D" w:rsidRDefault="002B7C8D" w:rsidP="00636CF9">
      <w:pPr>
        <w:rPr>
          <w:b/>
        </w:rPr>
      </w:pPr>
    </w:p>
    <w:p w:rsidR="00784EB7" w:rsidRPr="001313CA" w:rsidRDefault="00784EB7" w:rsidP="00636CF9">
      <w:pPr>
        <w:rPr>
          <w:b/>
        </w:rPr>
      </w:pPr>
    </w:p>
    <w:p w:rsidR="00636CF9" w:rsidRDefault="00784EB7" w:rsidP="00784EB7">
      <w:pPr>
        <w:pStyle w:val="ListeParagraf"/>
        <w:numPr>
          <w:ilvl w:val="0"/>
          <w:numId w:val="15"/>
        </w:numPr>
      </w:pPr>
      <w:r>
        <w:t>Initial area and corrected area of the specimen</w:t>
      </w:r>
    </w:p>
    <w:p w:rsidR="002B7C8D" w:rsidRDefault="002B7C8D" w:rsidP="002B7C8D"/>
    <w:p w:rsidR="002B7C8D" w:rsidRDefault="002B7C8D" w:rsidP="002B7C8D"/>
    <w:p w:rsidR="002B7C8D" w:rsidRDefault="002B7C8D" w:rsidP="002B7C8D"/>
    <w:p w:rsidR="002B7C8D" w:rsidRDefault="002B7C8D" w:rsidP="002B7C8D"/>
    <w:p w:rsidR="00636CF9" w:rsidRDefault="0054271E" w:rsidP="00636CF9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173F203A" wp14:editId="6BC4024C">
            <wp:extent cx="24765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1E" w:rsidRPr="00636CF9" w:rsidRDefault="00636CF9" w:rsidP="00636CF9">
      <w:pPr>
        <w:pStyle w:val="ResimYazs"/>
        <w:jc w:val="center"/>
        <w:rPr>
          <w:sz w:val="20"/>
          <w:szCs w:val="20"/>
        </w:rPr>
      </w:pPr>
      <w:r w:rsidRPr="00636CF9">
        <w:rPr>
          <w:sz w:val="20"/>
          <w:szCs w:val="20"/>
        </w:rPr>
        <w:t xml:space="preserve">Figure </w:t>
      </w:r>
      <w:r w:rsidRPr="00636CF9">
        <w:rPr>
          <w:sz w:val="20"/>
          <w:szCs w:val="20"/>
        </w:rPr>
        <w:fldChar w:fldCharType="begin"/>
      </w:r>
      <w:r w:rsidRPr="00636CF9">
        <w:rPr>
          <w:sz w:val="20"/>
          <w:szCs w:val="20"/>
        </w:rPr>
        <w:instrText xml:space="preserve"> SEQ Figure \* ARABIC </w:instrText>
      </w:r>
      <w:r w:rsidRPr="00636CF9">
        <w:rPr>
          <w:sz w:val="20"/>
          <w:szCs w:val="20"/>
        </w:rPr>
        <w:fldChar w:fldCharType="separate"/>
      </w:r>
      <w:r w:rsidR="005848D6">
        <w:rPr>
          <w:noProof/>
          <w:sz w:val="20"/>
          <w:szCs w:val="20"/>
        </w:rPr>
        <w:t>1</w:t>
      </w:r>
      <w:r w:rsidRPr="00636CF9">
        <w:rPr>
          <w:sz w:val="20"/>
          <w:szCs w:val="20"/>
        </w:rPr>
        <w:fldChar w:fldCharType="end"/>
      </w:r>
      <w:r w:rsidRPr="00636CF9">
        <w:rPr>
          <w:sz w:val="20"/>
          <w:szCs w:val="20"/>
        </w:rPr>
        <w:t>: Provided Formula to calculate corrected area</w:t>
      </w:r>
    </w:p>
    <w:p w:rsidR="0054271E" w:rsidRDefault="0054271E" w:rsidP="0054271E"/>
    <w:p w:rsidR="0054271E" w:rsidRDefault="0054271E" w:rsidP="0054271E">
      <w:r>
        <w:t xml:space="preserve">   For circular box, where D is specimen diameter and u is the shear displacement.</w:t>
      </w:r>
    </w:p>
    <w:p w:rsidR="00F661E0" w:rsidRDefault="0054271E" w:rsidP="00EE66E4">
      <w:r>
        <w:t xml:space="preserve">Initial area of the specimen is </w:t>
      </w:r>
      <w:r w:rsidRPr="001313CA">
        <w:rPr>
          <w:b/>
        </w:rPr>
        <w:t>A0 = pi*(63.5</w:t>
      </w:r>
      <w:proofErr w:type="gramStart"/>
      <w:r w:rsidR="001313CA" w:rsidRPr="001313CA">
        <w:rPr>
          <w:b/>
        </w:rPr>
        <w:t>)^</w:t>
      </w:r>
      <w:proofErr w:type="gramEnd"/>
      <w:r w:rsidR="001313CA" w:rsidRPr="001313CA">
        <w:rPr>
          <w:b/>
        </w:rPr>
        <w:t>2</w:t>
      </w:r>
      <w:r w:rsidRPr="001313CA">
        <w:rPr>
          <w:b/>
        </w:rPr>
        <w:t xml:space="preserve">/4 =3166,921744 </w:t>
      </w:r>
      <w:r w:rsidR="001313CA" w:rsidRPr="001313CA">
        <w:rPr>
          <w:b/>
        </w:rPr>
        <w:t>mm</w:t>
      </w:r>
      <w:r w:rsidR="001313CA" w:rsidRPr="001313CA">
        <w:rPr>
          <w:b/>
          <w:vertAlign w:val="superscript"/>
        </w:rPr>
        <w:t>2</w:t>
      </w:r>
    </w:p>
    <w:p w:rsidR="00636CF9" w:rsidRDefault="00636CF9" w:rsidP="002B7C8D">
      <w:pPr>
        <w:spacing w:line="360" w:lineRule="auto"/>
      </w:pPr>
      <w:r>
        <w:lastRenderedPageBreak/>
        <w:t>Area after shear displacement is calculated via formula given above. D is 63</w:t>
      </w:r>
      <w:proofErr w:type="gramStart"/>
      <w:r>
        <w:t>,5</w:t>
      </w:r>
      <w:proofErr w:type="gramEnd"/>
      <w:r>
        <w:t xml:space="preserve"> mm and shear displacement  data were recorded during the experiment.</w:t>
      </w:r>
    </w:p>
    <w:p w:rsidR="00636CF9" w:rsidRDefault="00636CF9" w:rsidP="002B7C8D">
      <w:pPr>
        <w:spacing w:line="360" w:lineRule="auto"/>
      </w:pPr>
      <w:r>
        <w:t>For u* is 10 u become</w:t>
      </w:r>
      <w:r w:rsidR="002B7C8D">
        <w:t>s</w:t>
      </w:r>
      <w:r>
        <w:t xml:space="preserve"> 0</w:t>
      </w:r>
      <w:proofErr w:type="gramStart"/>
      <w:r>
        <w:t>,1</w:t>
      </w:r>
      <w:proofErr w:type="gramEnd"/>
      <w:r>
        <w:t>, by substituting necessary quantities to the provided formula we obtain the corrected area for that shear displacement.</w:t>
      </w:r>
    </w:p>
    <w:p w:rsidR="00636CF9" w:rsidRPr="00636CF9" w:rsidRDefault="00636CF9" w:rsidP="00EE66E4">
      <w:pPr>
        <w:rPr>
          <w:rFonts w:ascii="Calibri" w:eastAsia="Times New Roman" w:hAnsi="Calibri" w:cs="Times New Roman"/>
          <w:color w:val="000000"/>
          <w:vertAlign w:val="superscript"/>
        </w:rPr>
      </w:pPr>
      <w:r w:rsidRPr="00636CF9">
        <w:rPr>
          <w:b/>
        </w:rPr>
        <w:t>A=(63,5^2/2)*(ACOS(0,1/63,5)-(0,1*SQRT(63,5^2-0,1^2))/(63,5^2))=</w:t>
      </w:r>
      <w:r w:rsidRPr="00636CF9">
        <w:rPr>
          <w:rFonts w:ascii="Calibri" w:hAnsi="Calibri"/>
          <w:b/>
          <w:color w:val="000000"/>
        </w:rPr>
        <w:t xml:space="preserve"> </w:t>
      </w:r>
      <w:r w:rsidRPr="00636CF9">
        <w:rPr>
          <w:rFonts w:ascii="Calibri" w:eastAsia="Times New Roman" w:hAnsi="Calibri" w:cs="Times New Roman"/>
          <w:b/>
          <w:color w:val="000000"/>
        </w:rPr>
        <w:t>3160,571747</w:t>
      </w:r>
      <w:r>
        <w:rPr>
          <w:rFonts w:ascii="Calibri" w:eastAsia="Times New Roman" w:hAnsi="Calibri" w:cs="Times New Roman"/>
          <w:b/>
          <w:color w:val="000000"/>
        </w:rPr>
        <w:t xml:space="preserve"> mm</w:t>
      </w:r>
      <w:r>
        <w:rPr>
          <w:rFonts w:ascii="Calibri" w:eastAsia="Times New Roman" w:hAnsi="Calibri" w:cs="Times New Roman"/>
          <w:b/>
          <w:color w:val="000000"/>
          <w:vertAlign w:val="superscript"/>
        </w:rPr>
        <w:t>2</w:t>
      </w:r>
    </w:p>
    <w:p w:rsidR="001313CA" w:rsidRPr="001313CA" w:rsidRDefault="001313CA" w:rsidP="00EE66E4">
      <w:r>
        <w:t>For each row on the data sheet same calculation is done in order to obtain corrected area with the help of the Excel.</w:t>
      </w:r>
    </w:p>
    <w:p w:rsidR="00192E1C" w:rsidRDefault="0054271E" w:rsidP="00D54BCB">
      <w:r>
        <w:t xml:space="preserve">                     </w:t>
      </w:r>
    </w:p>
    <w:p w:rsidR="0054271E" w:rsidRDefault="0054271E" w:rsidP="00D54BCB"/>
    <w:p w:rsidR="00636CF9" w:rsidRDefault="00636CF9" w:rsidP="00784EB7">
      <w:pPr>
        <w:pStyle w:val="ListeParagraf"/>
        <w:numPr>
          <w:ilvl w:val="0"/>
          <w:numId w:val="13"/>
        </w:numPr>
      </w:pPr>
      <w:r>
        <w:t xml:space="preserve">Shear stress is also asked to calculate by provided formula as </w:t>
      </w:r>
      <w:r w:rsidR="008D1888">
        <w:t>follows:</w:t>
      </w:r>
    </w:p>
    <w:p w:rsidR="00636CF9" w:rsidRPr="008D1888" w:rsidRDefault="00636CF9" w:rsidP="00636CF9">
      <w:pPr>
        <w:rPr>
          <w:b/>
        </w:rPr>
      </w:pPr>
    </w:p>
    <w:p w:rsidR="00636CF9" w:rsidRPr="008D1888" w:rsidRDefault="008D1888" w:rsidP="00636CF9">
      <w:pPr>
        <w:rPr>
          <w:b/>
        </w:rPr>
      </w:pPr>
      <w:r w:rsidRPr="008D1888">
        <w:rPr>
          <w:b/>
        </w:rPr>
        <w:t>τ</w:t>
      </w:r>
      <w:r w:rsidR="00636CF9" w:rsidRPr="008D1888">
        <w:rPr>
          <w:b/>
        </w:rPr>
        <w:t xml:space="preserve"> = </w:t>
      </w:r>
      <w:proofErr w:type="gramStart"/>
      <w:r w:rsidR="00636CF9" w:rsidRPr="008D1888">
        <w:rPr>
          <w:b/>
        </w:rPr>
        <w:t xml:space="preserve">( </w:t>
      </w:r>
      <w:proofErr w:type="spellStart"/>
      <w:r w:rsidR="00636CF9" w:rsidRPr="008D1888">
        <w:rPr>
          <w:b/>
        </w:rPr>
        <w:t>Cp</w:t>
      </w:r>
      <w:proofErr w:type="spellEnd"/>
      <w:proofErr w:type="gramEnd"/>
      <w:r w:rsidR="00636CF9" w:rsidRPr="008D1888">
        <w:rPr>
          <w:b/>
        </w:rPr>
        <w:t>*δ ) / A</w:t>
      </w:r>
    </w:p>
    <w:p w:rsidR="00636CF9" w:rsidRDefault="008D1888" w:rsidP="00636CF9">
      <w:r>
        <w:t>For the third row of the data sheet,</w:t>
      </w:r>
    </w:p>
    <w:p w:rsidR="0054271E" w:rsidRDefault="008D1888" w:rsidP="00636CF9">
      <w:pPr>
        <w:rPr>
          <w:b/>
        </w:rPr>
      </w:pPr>
      <w:r w:rsidRPr="008D1888">
        <w:rPr>
          <w:b/>
        </w:rPr>
        <w:t>τ</w:t>
      </w:r>
      <w:r w:rsidR="00636CF9" w:rsidRPr="008D1888">
        <w:rPr>
          <w:b/>
          <w:vertAlign w:val="subscript"/>
        </w:rPr>
        <w:t>3</w:t>
      </w:r>
      <w:proofErr w:type="gramStart"/>
      <w:r w:rsidR="00636CF9" w:rsidRPr="008D1888">
        <w:rPr>
          <w:b/>
        </w:rPr>
        <w:t>=(</w:t>
      </w:r>
      <w:proofErr w:type="gramEnd"/>
      <w:r w:rsidR="00636CF9" w:rsidRPr="008D1888">
        <w:rPr>
          <w:b/>
        </w:rPr>
        <w:t>0.142</w:t>
      </w:r>
      <w:r w:rsidRPr="008D1888">
        <w:rPr>
          <w:b/>
        </w:rPr>
        <w:t xml:space="preserve"> </w:t>
      </w:r>
      <w:r w:rsidR="00636CF9" w:rsidRPr="008D1888">
        <w:rPr>
          <w:b/>
        </w:rPr>
        <w:t>*</w:t>
      </w:r>
      <w:r w:rsidR="00636CF9" w:rsidRPr="008D1888">
        <w:rPr>
          <w:rFonts w:ascii="Calibri" w:hAnsi="Calibri"/>
          <w:b/>
          <w:color w:val="000000"/>
        </w:rPr>
        <w:t xml:space="preserve"> </w:t>
      </w:r>
      <w:r>
        <w:rPr>
          <w:rFonts w:ascii="Calibri" w:eastAsia="Times New Roman" w:hAnsi="Calibri" w:cs="Times New Roman"/>
          <w:b/>
          <w:color w:val="000000"/>
        </w:rPr>
        <w:t>0,39</w:t>
      </w:r>
      <w:r w:rsidR="00636CF9" w:rsidRPr="008D1888">
        <w:rPr>
          <w:b/>
        </w:rPr>
        <w:t xml:space="preserve">)/ 3160,571747 = </w:t>
      </w:r>
      <w:r w:rsidRPr="008D1888">
        <w:rPr>
          <w:b/>
        </w:rPr>
        <w:t>0,000171892</w:t>
      </w:r>
      <w:r w:rsidR="00636CF9" w:rsidRPr="008D1888">
        <w:rPr>
          <w:b/>
        </w:rPr>
        <w:t xml:space="preserve"> </w:t>
      </w:r>
      <w:proofErr w:type="spellStart"/>
      <w:r w:rsidR="00636CF9" w:rsidRPr="008D1888">
        <w:rPr>
          <w:b/>
        </w:rPr>
        <w:t>kPa</w:t>
      </w:r>
      <w:proofErr w:type="spellEnd"/>
      <w:r w:rsidR="00636CF9" w:rsidRPr="008D1888">
        <w:rPr>
          <w:b/>
        </w:rPr>
        <w:t xml:space="preserve"> </w:t>
      </w:r>
    </w:p>
    <w:p w:rsidR="008D1888" w:rsidRPr="008D1888" w:rsidRDefault="008D1888" w:rsidP="00636CF9">
      <w:r>
        <w:rPr>
          <w:b/>
        </w:rPr>
        <w:t xml:space="preserve"> </w:t>
      </w:r>
      <w:r>
        <w:t>I made the same calculations for each row with the help of the Excel.</w:t>
      </w:r>
    </w:p>
    <w:p w:rsidR="0054271E" w:rsidRDefault="0054271E" w:rsidP="00D54BCB"/>
    <w:p w:rsidR="0054271E" w:rsidRDefault="0054271E" w:rsidP="00D54BCB"/>
    <w:p w:rsidR="00784EB7" w:rsidRDefault="00784EB7" w:rsidP="002B7C8D">
      <w:pPr>
        <w:pStyle w:val="ListeParagraf"/>
        <w:numPr>
          <w:ilvl w:val="0"/>
          <w:numId w:val="16"/>
        </w:numPr>
      </w:pPr>
      <w:r w:rsidRPr="002B7C8D">
        <w:rPr>
          <w:b/>
        </w:rPr>
        <w:t xml:space="preserve">τ = C + </w:t>
      </w:r>
      <w:proofErr w:type="gramStart"/>
      <w:r w:rsidRPr="002B7C8D">
        <w:rPr>
          <w:b/>
        </w:rPr>
        <w:t>tan(</w:t>
      </w:r>
      <w:proofErr w:type="gramEnd"/>
      <w:r w:rsidRPr="002B7C8D">
        <w:rPr>
          <w:b/>
        </w:rPr>
        <w:t>φ)</w:t>
      </w:r>
      <w:r>
        <w:t xml:space="preserve"> by assuming C=0 .</w:t>
      </w:r>
    </w:p>
    <w:p w:rsidR="00784EB7" w:rsidRDefault="00784EB7" w:rsidP="00784EB7"/>
    <w:p w:rsidR="005F42D4" w:rsidRDefault="00784EB7" w:rsidP="002B7C8D">
      <w:pPr>
        <w:spacing w:line="360" w:lineRule="auto"/>
      </w:pPr>
      <w:r>
        <w:t xml:space="preserve">As it can be seen from the </w:t>
      </w:r>
      <w:r w:rsidR="005F42D4">
        <w:t>data sheet that prepared on Excel</w:t>
      </w:r>
      <w:r>
        <w:t xml:space="preserve"> that our φ values do not change much. The average value is found by drawing best line to the points. φ=0.</w:t>
      </w:r>
      <w:r w:rsidR="005F42D4">
        <w:t>0057</w:t>
      </w:r>
      <w:r>
        <w:t xml:space="preserve"> </w:t>
      </w:r>
      <w:r w:rsidR="005F42D4">
        <w:t>radians</w:t>
      </w:r>
      <w:r>
        <w:t xml:space="preserve"> for f</w:t>
      </w:r>
      <w:r w:rsidR="00BF29AD">
        <w:t xml:space="preserve">irst load which weighs 21.5 kg. </w:t>
      </w:r>
      <w:proofErr w:type="gramStart"/>
      <w:r w:rsidR="00BF29AD">
        <w:t>as</w:t>
      </w:r>
      <w:proofErr w:type="gramEnd"/>
      <w:r w:rsidR="00BF29AD">
        <w:t xml:space="preserve"> shown in the Figure 2. </w:t>
      </w:r>
    </w:p>
    <w:p w:rsidR="00BF29AD" w:rsidRDefault="005F42D4" w:rsidP="00BF29AD">
      <w:pPr>
        <w:keepNext/>
      </w:pPr>
      <w:r>
        <w:rPr>
          <w:noProof/>
          <w:lang w:val="tr-TR" w:eastAsia="tr-TR"/>
        </w:rPr>
        <w:lastRenderedPageBreak/>
        <w:drawing>
          <wp:inline distT="0" distB="0" distL="0" distR="0" wp14:anchorId="3B56011A" wp14:editId="6D7506B4">
            <wp:extent cx="6200775" cy="30575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42D4" w:rsidRPr="00BF29AD" w:rsidRDefault="00BF29AD" w:rsidP="00BF29AD">
      <w:pPr>
        <w:pStyle w:val="ResimYazs"/>
        <w:jc w:val="center"/>
        <w:rPr>
          <w:sz w:val="24"/>
          <w:szCs w:val="24"/>
        </w:rPr>
      </w:pPr>
      <w:r w:rsidRPr="00BF29AD">
        <w:rPr>
          <w:sz w:val="24"/>
          <w:szCs w:val="24"/>
        </w:rPr>
        <w:t xml:space="preserve">Figure </w:t>
      </w:r>
      <w:r w:rsidRPr="00BF29AD">
        <w:rPr>
          <w:sz w:val="24"/>
          <w:szCs w:val="24"/>
        </w:rPr>
        <w:fldChar w:fldCharType="begin"/>
      </w:r>
      <w:r w:rsidRPr="00BF29AD">
        <w:rPr>
          <w:sz w:val="24"/>
          <w:szCs w:val="24"/>
        </w:rPr>
        <w:instrText xml:space="preserve"> SEQ Figure \* ARABIC </w:instrText>
      </w:r>
      <w:r w:rsidRPr="00BF29AD">
        <w:rPr>
          <w:sz w:val="24"/>
          <w:szCs w:val="24"/>
        </w:rPr>
        <w:fldChar w:fldCharType="separate"/>
      </w:r>
      <w:r w:rsidR="005848D6">
        <w:rPr>
          <w:noProof/>
          <w:sz w:val="24"/>
          <w:szCs w:val="24"/>
        </w:rPr>
        <w:t>2</w:t>
      </w:r>
      <w:r w:rsidRPr="00BF29AD">
        <w:rPr>
          <w:sz w:val="24"/>
          <w:szCs w:val="24"/>
        </w:rPr>
        <w:fldChar w:fldCharType="end"/>
      </w:r>
      <w:r w:rsidRPr="00BF29AD">
        <w:rPr>
          <w:sz w:val="24"/>
          <w:szCs w:val="24"/>
        </w:rPr>
        <w:t>: best line for 21</w:t>
      </w:r>
      <w:proofErr w:type="gramStart"/>
      <w:r w:rsidRPr="00BF29AD">
        <w:rPr>
          <w:sz w:val="24"/>
          <w:szCs w:val="24"/>
        </w:rPr>
        <w:t>,5</w:t>
      </w:r>
      <w:proofErr w:type="gramEnd"/>
      <w:r w:rsidRPr="00BF29AD">
        <w:rPr>
          <w:sz w:val="24"/>
          <w:szCs w:val="24"/>
        </w:rPr>
        <w:t xml:space="preserve"> kg load</w:t>
      </w:r>
    </w:p>
    <w:p w:rsidR="005F42D4" w:rsidRDefault="005F42D4" w:rsidP="00D54BCB"/>
    <w:p w:rsidR="005F42D4" w:rsidRDefault="005F42D4" w:rsidP="00D54BCB"/>
    <w:p w:rsidR="005F42D4" w:rsidRDefault="005F42D4" w:rsidP="005F42D4">
      <w:r>
        <w:t>Our 2</w:t>
      </w:r>
      <w:r w:rsidRPr="005F42D4">
        <w:rPr>
          <w:vertAlign w:val="superscript"/>
        </w:rPr>
        <w:t>nd</w:t>
      </w:r>
      <w:r>
        <w:t xml:space="preserve"> φ = 0.0069 radians for the 2</w:t>
      </w:r>
      <w:r w:rsidRPr="00784EB7">
        <w:rPr>
          <w:vertAlign w:val="superscript"/>
        </w:rPr>
        <w:t>nd</w:t>
      </w:r>
      <w:r>
        <w:t xml:space="preserve"> </w:t>
      </w:r>
      <w:r w:rsidR="00BF29AD">
        <w:t>load which weighs 41.5 kg as shown in the Figure 3.</w:t>
      </w:r>
    </w:p>
    <w:p w:rsidR="00192E1C" w:rsidRDefault="00192E1C" w:rsidP="00D54BCB"/>
    <w:p w:rsidR="00BF29AD" w:rsidRDefault="005F42D4" w:rsidP="00BF29AD">
      <w:pPr>
        <w:keepNext/>
      </w:pPr>
      <w:r>
        <w:rPr>
          <w:noProof/>
          <w:lang w:val="tr-TR" w:eastAsia="tr-TR"/>
        </w:rPr>
        <w:drawing>
          <wp:inline distT="0" distB="0" distL="0" distR="0" wp14:anchorId="6985660D" wp14:editId="3DA8EB46">
            <wp:extent cx="6029325" cy="3105150"/>
            <wp:effectExtent l="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F42D4" w:rsidRPr="00BF29AD" w:rsidRDefault="00BF29AD" w:rsidP="00BF29AD">
      <w:pPr>
        <w:pStyle w:val="ResimYazs"/>
        <w:jc w:val="center"/>
        <w:rPr>
          <w:sz w:val="24"/>
          <w:szCs w:val="24"/>
        </w:rPr>
      </w:pPr>
      <w:r w:rsidRPr="00BF29AD">
        <w:rPr>
          <w:sz w:val="24"/>
          <w:szCs w:val="24"/>
        </w:rPr>
        <w:t xml:space="preserve">Figure </w:t>
      </w:r>
      <w:r w:rsidRPr="00BF29AD">
        <w:rPr>
          <w:sz w:val="24"/>
          <w:szCs w:val="24"/>
        </w:rPr>
        <w:fldChar w:fldCharType="begin"/>
      </w:r>
      <w:r w:rsidRPr="00BF29AD">
        <w:rPr>
          <w:sz w:val="24"/>
          <w:szCs w:val="24"/>
        </w:rPr>
        <w:instrText xml:space="preserve"> SEQ Figure \* ARABIC </w:instrText>
      </w:r>
      <w:r w:rsidRPr="00BF29AD">
        <w:rPr>
          <w:sz w:val="24"/>
          <w:szCs w:val="24"/>
        </w:rPr>
        <w:fldChar w:fldCharType="separate"/>
      </w:r>
      <w:r w:rsidR="005848D6">
        <w:rPr>
          <w:noProof/>
          <w:sz w:val="24"/>
          <w:szCs w:val="24"/>
        </w:rPr>
        <w:t>3</w:t>
      </w:r>
      <w:r w:rsidRPr="00BF29AD">
        <w:rPr>
          <w:sz w:val="24"/>
          <w:szCs w:val="24"/>
        </w:rPr>
        <w:fldChar w:fldCharType="end"/>
      </w:r>
      <w:r w:rsidRPr="00BF29AD">
        <w:rPr>
          <w:sz w:val="24"/>
          <w:szCs w:val="24"/>
        </w:rPr>
        <w:t>: best line for the load 41</w:t>
      </w:r>
      <w:proofErr w:type="gramStart"/>
      <w:r w:rsidRPr="00BF29AD">
        <w:rPr>
          <w:sz w:val="24"/>
          <w:szCs w:val="24"/>
        </w:rPr>
        <w:t>,5</w:t>
      </w:r>
      <w:proofErr w:type="gramEnd"/>
      <w:r w:rsidRPr="00BF29AD">
        <w:rPr>
          <w:sz w:val="24"/>
          <w:szCs w:val="24"/>
        </w:rPr>
        <w:t xml:space="preserve"> kg</w:t>
      </w:r>
    </w:p>
    <w:p w:rsidR="005F42D4" w:rsidRDefault="005F42D4" w:rsidP="00305504">
      <w:pPr>
        <w:rPr>
          <w:b/>
        </w:rPr>
      </w:pPr>
    </w:p>
    <w:tbl>
      <w:tblPr>
        <w:tblW w:w="11190" w:type="dxa"/>
        <w:jc w:val="center"/>
        <w:tblLook w:val="04A0" w:firstRow="1" w:lastRow="0" w:firstColumn="1" w:lastColumn="0" w:noHBand="0" w:noVBand="1"/>
      </w:tblPr>
      <w:tblGrid>
        <w:gridCol w:w="958"/>
        <w:gridCol w:w="830"/>
        <w:gridCol w:w="889"/>
        <w:gridCol w:w="814"/>
        <w:gridCol w:w="908"/>
        <w:gridCol w:w="651"/>
        <w:gridCol w:w="1516"/>
        <w:gridCol w:w="1210"/>
        <w:gridCol w:w="1069"/>
        <w:gridCol w:w="1069"/>
        <w:gridCol w:w="1276"/>
      </w:tblGrid>
      <w:tr w:rsidR="00F57E19" w:rsidRPr="00F57E19" w:rsidTr="0082157A">
        <w:trPr>
          <w:trHeight w:val="821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 xml:space="preserve">Shear </w:t>
            </w:r>
            <w:proofErr w:type="spellStart"/>
            <w:r w:rsidRPr="00F57E19">
              <w:rPr>
                <w:rFonts w:ascii="Calibri" w:eastAsia="Times New Roman" w:hAnsi="Calibri" w:cs="Times New Roman"/>
                <w:color w:val="000000"/>
              </w:rPr>
              <w:t>disp</w:t>
            </w:r>
            <w:proofErr w:type="spellEnd"/>
            <w:r w:rsidRPr="00F57E19">
              <w:rPr>
                <w:rFonts w:ascii="Calibri" w:eastAsia="Times New Roman" w:hAnsi="Calibri" w:cs="Times New Roman"/>
                <w:color w:val="000000"/>
              </w:rPr>
              <w:t>(u*)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u(mm)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 xml:space="preserve">vertical </w:t>
            </w:r>
            <w:proofErr w:type="spellStart"/>
            <w:r w:rsidRPr="00F57E19">
              <w:rPr>
                <w:rFonts w:ascii="Calibri" w:eastAsia="Times New Roman" w:hAnsi="Calibri" w:cs="Times New Roman"/>
                <w:color w:val="000000"/>
              </w:rPr>
              <w:t>def</w:t>
            </w:r>
            <w:proofErr w:type="spellEnd"/>
            <w:r w:rsidRPr="00F57E19">
              <w:rPr>
                <w:rFonts w:ascii="Calibri" w:eastAsia="Times New Roman" w:hAnsi="Calibri" w:cs="Times New Roman"/>
                <w:color w:val="000000"/>
              </w:rPr>
              <w:t>(v*)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v(mm)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 xml:space="preserve">proving ring (δ*) 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δ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Corrected </w:t>
            </w:r>
            <w:r w:rsidRPr="00F57E19">
              <w:rPr>
                <w:rFonts w:ascii="Calibri" w:eastAsia="Times New Roman" w:hAnsi="Calibri" w:cs="Times New Roman"/>
                <w:color w:val="000000"/>
              </w:rPr>
              <w:t>Area(A)(mm2)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shear stress(</w:t>
            </w:r>
            <w:proofErr w:type="spellStart"/>
            <w:r w:rsidRPr="00F57E19">
              <w:rPr>
                <w:rFonts w:ascii="Calibri" w:eastAsia="Times New Roman" w:hAnsi="Calibri" w:cs="Times New Roman"/>
                <w:color w:val="000000"/>
              </w:rPr>
              <w:t>kPa</w:t>
            </w:r>
            <w:proofErr w:type="spellEnd"/>
            <w:r w:rsidRPr="00F57E1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sigma1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phi(rad)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phi(degree)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3166,9217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3166,9217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0,066599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0,33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0,39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3160,5717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0,000172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0,066733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0,002576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0,073791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0,35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0,58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3154,2218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0,066868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0,003831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0,109741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0,37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0,67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3147,8718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0,000296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0,067002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0,004425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0,126769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0,39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0,75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3141,5219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0,000333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0,067138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0,004953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0,141906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0,39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0,84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3135,1721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0,000373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0,067274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0,005548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0,158934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0,42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0,89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3128,8223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0,000396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0,067410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0,005878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0,168394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0,43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0,96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3122,4726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0,000428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0,067547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0,00634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0,181639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0,48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1,04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3116,1231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0,000465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0,067685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0,006869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0,196775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0,48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1,08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3109,7737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0,000484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0,067823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0,007133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0,204343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0,48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1,09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3103,4244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0,000489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0,067962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0,007199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0,206235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0,48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1,12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3097,0752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0,000504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0,068101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0,007397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0,211911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0,47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1,15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3090,7263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0,000518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0,068241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0,007595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0,217587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1,17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3084,3775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0,000528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0,068382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0,007727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0,221370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1,19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3078,0289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0,000539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0,068523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0,007859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0,225154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1,19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3078,0289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0,000539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0,132265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0,004072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0,116648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0,53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1,19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3071,6806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0,000540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0,132538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0,004072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0,116648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0,55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1,98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3065,3325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0,000900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0,132813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0,006775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0,194085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0,55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2,15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3058,9846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0,000979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0,133088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0,007356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0,210748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0,55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2,2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3052,6371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0,001004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0,133365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0,007528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0,215649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1,9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2,22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3046,2897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0,001015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0,133643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0,007596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0,217609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2,24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3039,9427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0,001026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0,133922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0,219570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2,1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0,53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2,24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3033,5961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0,001029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0,134202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0,219570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2,2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0,53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2,24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3027,2497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0,001031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0,134483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0,219570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2,3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0,52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2,22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3020,9037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0,001024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0,134766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0,007596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0,217609</w:t>
            </w:r>
          </w:p>
        </w:tc>
      </w:tr>
      <w:tr w:rsidR="00F57E19" w:rsidRPr="00F57E19" w:rsidTr="0082157A">
        <w:trPr>
          <w:trHeight w:val="334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2,4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0,52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2,22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3014,5580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0,001026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0,135050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F57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0,007596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E19" w:rsidRPr="00F57E19" w:rsidRDefault="00F57E19" w:rsidP="008F02DE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E19">
              <w:rPr>
                <w:rFonts w:ascii="Calibri" w:eastAsia="Times New Roman" w:hAnsi="Calibri" w:cs="Times New Roman"/>
                <w:color w:val="000000"/>
              </w:rPr>
              <w:t>0,217609</w:t>
            </w:r>
          </w:p>
        </w:tc>
      </w:tr>
    </w:tbl>
    <w:p w:rsidR="008F02DE" w:rsidRDefault="008F02DE" w:rsidP="008F02DE">
      <w:pPr>
        <w:pStyle w:val="ResimYazs"/>
      </w:pPr>
    </w:p>
    <w:p w:rsidR="002B7C8D" w:rsidRDefault="008F02DE" w:rsidP="001A0A40">
      <w:pPr>
        <w:pStyle w:val="ResimYazs"/>
        <w:jc w:val="center"/>
        <w:rPr>
          <w:sz w:val="26"/>
          <w:szCs w:val="26"/>
        </w:rPr>
      </w:pPr>
      <w:r w:rsidRPr="008F02DE">
        <w:rPr>
          <w:sz w:val="26"/>
          <w:szCs w:val="26"/>
        </w:rPr>
        <w:t xml:space="preserve">Figure </w:t>
      </w:r>
      <w:r w:rsidRPr="008F02DE">
        <w:rPr>
          <w:sz w:val="26"/>
          <w:szCs w:val="26"/>
        </w:rPr>
        <w:fldChar w:fldCharType="begin"/>
      </w:r>
      <w:r w:rsidRPr="008F02DE">
        <w:rPr>
          <w:sz w:val="26"/>
          <w:szCs w:val="26"/>
        </w:rPr>
        <w:instrText xml:space="preserve"> SEQ Figure \* ARABIC </w:instrText>
      </w:r>
      <w:r w:rsidRPr="008F02DE">
        <w:rPr>
          <w:sz w:val="26"/>
          <w:szCs w:val="26"/>
        </w:rPr>
        <w:fldChar w:fldCharType="separate"/>
      </w:r>
      <w:r w:rsidR="005848D6">
        <w:rPr>
          <w:noProof/>
          <w:sz w:val="26"/>
          <w:szCs w:val="26"/>
        </w:rPr>
        <w:t>4</w:t>
      </w:r>
      <w:r w:rsidRPr="008F02DE">
        <w:rPr>
          <w:sz w:val="26"/>
          <w:szCs w:val="26"/>
        </w:rPr>
        <w:fldChar w:fldCharType="end"/>
      </w:r>
      <w:r w:rsidRPr="008F02DE">
        <w:rPr>
          <w:sz w:val="26"/>
          <w:szCs w:val="26"/>
        </w:rPr>
        <w:t>: Data Sheet with recorded and calculated values</w:t>
      </w:r>
    </w:p>
    <w:p w:rsidR="002B7C8D" w:rsidRDefault="002B7C8D" w:rsidP="002B7C8D"/>
    <w:p w:rsidR="002B7C8D" w:rsidRPr="002B7C8D" w:rsidRDefault="001A0A40" w:rsidP="001A0A40">
      <w:pPr>
        <w:pStyle w:val="ListeParagraf"/>
        <w:numPr>
          <w:ilvl w:val="0"/>
          <w:numId w:val="16"/>
        </w:numPr>
      </w:pPr>
      <w:r>
        <w:t xml:space="preserve">Hatched </w:t>
      </w:r>
      <w:r w:rsidR="00006E88">
        <w:t>row represents</w:t>
      </w:r>
      <w:r>
        <w:t xml:space="preserve"> the time where 41</w:t>
      </w:r>
      <w:proofErr w:type="gramStart"/>
      <w:r>
        <w:t>,5</w:t>
      </w:r>
      <w:proofErr w:type="gramEnd"/>
      <w:r>
        <w:t xml:space="preserve"> kg load is applied.</w:t>
      </w:r>
      <w:r w:rsidR="00006E88">
        <w:t xml:space="preserve"> And following rows include the data of 41</w:t>
      </w:r>
      <w:proofErr w:type="gramStart"/>
      <w:r w:rsidR="00006E88">
        <w:t>,5</w:t>
      </w:r>
      <w:proofErr w:type="gramEnd"/>
      <w:r w:rsidR="00006E88">
        <w:t xml:space="preserve"> kg load.</w:t>
      </w:r>
    </w:p>
    <w:p w:rsidR="005936C5" w:rsidRPr="00BD1626" w:rsidRDefault="005936C5" w:rsidP="001B612C">
      <w:pPr>
        <w:pStyle w:val="Balk1"/>
        <w:jc w:val="center"/>
        <w:rPr>
          <w:b/>
        </w:rPr>
      </w:pPr>
      <w:bookmarkStart w:id="10" w:name="_Toc405765877"/>
      <w:r w:rsidRPr="00BD1626">
        <w:rPr>
          <w:b/>
        </w:rPr>
        <w:lastRenderedPageBreak/>
        <w:t>Conclusion</w:t>
      </w:r>
      <w:bookmarkEnd w:id="10"/>
    </w:p>
    <w:p w:rsidR="001B612C" w:rsidRDefault="001B612C" w:rsidP="001B612C"/>
    <w:p w:rsidR="008411B8" w:rsidRDefault="00B63F33" w:rsidP="002B7C8D">
      <w:pPr>
        <w:spacing w:line="360" w:lineRule="auto"/>
        <w:jc w:val="both"/>
      </w:pPr>
      <w:r>
        <w:t xml:space="preserve">                </w:t>
      </w:r>
      <w:r w:rsidR="00B95F8B">
        <w:t xml:space="preserve">In this experiment, </w:t>
      </w:r>
      <w:r w:rsidR="00F15909">
        <w:t xml:space="preserve">our purpose was to </w:t>
      </w:r>
      <w:r w:rsidR="0046313B">
        <w:t>obtain strength-deformation characteristics of a dry sand at a specified density. We are supposed to calculate shear displacement, vertical deflection, corrected area and shear stress for</w:t>
      </w:r>
      <w:r w:rsidR="006D2BD6">
        <w:t xml:space="preserve"> two</w:t>
      </w:r>
      <w:r w:rsidR="0046313B">
        <w:t xml:space="preserve"> different loads.</w:t>
      </w:r>
      <w:r w:rsidR="006D2BD6">
        <w:t xml:space="preserve"> How to calculate the a</w:t>
      </w:r>
      <w:r w:rsidR="003D418D">
        <w:t>sked values is</w:t>
      </w:r>
      <w:r w:rsidR="006D2BD6">
        <w:t xml:space="preserve"> shown in the calculation part. Required graphs are as follows;</w:t>
      </w:r>
    </w:p>
    <w:p w:rsidR="002B7C8D" w:rsidRDefault="002B7C8D" w:rsidP="002B7C8D">
      <w:pPr>
        <w:spacing w:line="360" w:lineRule="auto"/>
        <w:jc w:val="both"/>
      </w:pPr>
    </w:p>
    <w:p w:rsidR="005848D6" w:rsidRDefault="002B7C8D" w:rsidP="005848D6">
      <w:pPr>
        <w:keepNext/>
        <w:spacing w:line="360" w:lineRule="auto"/>
        <w:jc w:val="both"/>
      </w:pPr>
      <w:r>
        <w:rPr>
          <w:noProof/>
          <w:lang w:val="tr-TR" w:eastAsia="tr-TR"/>
        </w:rPr>
        <w:drawing>
          <wp:inline distT="0" distB="0" distL="0" distR="0" wp14:anchorId="0B3F6EB7" wp14:editId="1B871762">
            <wp:extent cx="6267450" cy="336232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B7C8D" w:rsidRPr="005848D6" w:rsidRDefault="005848D6" w:rsidP="005848D6">
      <w:pPr>
        <w:pStyle w:val="ResimYazs"/>
        <w:jc w:val="center"/>
        <w:rPr>
          <w:sz w:val="24"/>
          <w:szCs w:val="24"/>
        </w:rPr>
      </w:pPr>
      <w:r w:rsidRPr="005848D6">
        <w:rPr>
          <w:sz w:val="24"/>
          <w:szCs w:val="24"/>
        </w:rPr>
        <w:t xml:space="preserve">Figure </w:t>
      </w:r>
      <w:r w:rsidRPr="005848D6">
        <w:rPr>
          <w:sz w:val="24"/>
          <w:szCs w:val="24"/>
        </w:rPr>
        <w:fldChar w:fldCharType="begin"/>
      </w:r>
      <w:r w:rsidRPr="005848D6">
        <w:rPr>
          <w:sz w:val="24"/>
          <w:szCs w:val="24"/>
        </w:rPr>
        <w:instrText xml:space="preserve"> SEQ Figure \* ARABIC </w:instrText>
      </w:r>
      <w:r w:rsidRPr="005848D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5848D6">
        <w:rPr>
          <w:sz w:val="24"/>
          <w:szCs w:val="24"/>
        </w:rPr>
        <w:fldChar w:fldCharType="end"/>
      </w:r>
      <w:r w:rsidRPr="005848D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848D6">
        <w:rPr>
          <w:sz w:val="24"/>
          <w:szCs w:val="24"/>
        </w:rPr>
        <w:t>Shear Stress vs Shear Displacement Graph</w:t>
      </w:r>
    </w:p>
    <w:p w:rsidR="008411B8" w:rsidRDefault="008411B8" w:rsidP="00225020">
      <w:pPr>
        <w:spacing w:line="360" w:lineRule="auto"/>
      </w:pPr>
    </w:p>
    <w:p w:rsidR="005848D6" w:rsidRDefault="002B7C8D" w:rsidP="005848D6">
      <w:pPr>
        <w:keepNext/>
        <w:spacing w:line="360" w:lineRule="auto"/>
      </w:pPr>
      <w:r>
        <w:rPr>
          <w:noProof/>
          <w:lang w:val="tr-TR" w:eastAsia="tr-TR"/>
        </w:rPr>
        <w:lastRenderedPageBreak/>
        <w:drawing>
          <wp:inline distT="0" distB="0" distL="0" distR="0" wp14:anchorId="560EA7CA" wp14:editId="0B47C907">
            <wp:extent cx="6353175" cy="3390900"/>
            <wp:effectExtent l="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411B8" w:rsidRPr="005848D6" w:rsidRDefault="005848D6" w:rsidP="005848D6">
      <w:pPr>
        <w:pStyle w:val="ResimYazs"/>
        <w:jc w:val="center"/>
        <w:rPr>
          <w:sz w:val="24"/>
          <w:szCs w:val="24"/>
        </w:rPr>
      </w:pPr>
      <w:r w:rsidRPr="005848D6">
        <w:rPr>
          <w:sz w:val="24"/>
          <w:szCs w:val="24"/>
        </w:rPr>
        <w:t xml:space="preserve">Figure </w:t>
      </w:r>
      <w:r w:rsidRPr="005848D6">
        <w:rPr>
          <w:sz w:val="24"/>
          <w:szCs w:val="24"/>
        </w:rPr>
        <w:fldChar w:fldCharType="begin"/>
      </w:r>
      <w:r w:rsidRPr="005848D6">
        <w:rPr>
          <w:sz w:val="24"/>
          <w:szCs w:val="24"/>
        </w:rPr>
        <w:instrText xml:space="preserve"> SEQ Figure \* ARABIC </w:instrText>
      </w:r>
      <w:r w:rsidRPr="005848D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5848D6">
        <w:rPr>
          <w:sz w:val="24"/>
          <w:szCs w:val="24"/>
        </w:rPr>
        <w:fldChar w:fldCharType="end"/>
      </w:r>
      <w:r w:rsidRPr="005848D6">
        <w:rPr>
          <w:sz w:val="24"/>
          <w:szCs w:val="24"/>
        </w:rPr>
        <w:t>: Vertical Displacement vs Shear Displacement Graph</w:t>
      </w:r>
    </w:p>
    <w:p w:rsidR="002B7C8D" w:rsidRDefault="002B7C8D" w:rsidP="00225020">
      <w:pPr>
        <w:spacing w:line="360" w:lineRule="auto"/>
      </w:pPr>
    </w:p>
    <w:p w:rsidR="005848D6" w:rsidRDefault="002B7C8D" w:rsidP="005848D6">
      <w:pPr>
        <w:keepNext/>
        <w:spacing w:line="360" w:lineRule="auto"/>
      </w:pPr>
      <w:r>
        <w:rPr>
          <w:noProof/>
          <w:lang w:val="tr-TR" w:eastAsia="tr-TR"/>
        </w:rPr>
        <w:drawing>
          <wp:inline distT="0" distB="0" distL="0" distR="0" wp14:anchorId="02A37AE3" wp14:editId="54ADFEA1">
            <wp:extent cx="6543675" cy="3552825"/>
            <wp:effectExtent l="0" t="0" r="9525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B7C8D" w:rsidRPr="005848D6" w:rsidRDefault="005848D6" w:rsidP="005848D6">
      <w:pPr>
        <w:pStyle w:val="ResimYazs"/>
        <w:jc w:val="center"/>
        <w:rPr>
          <w:sz w:val="24"/>
          <w:szCs w:val="24"/>
        </w:rPr>
      </w:pPr>
      <w:r w:rsidRPr="005848D6">
        <w:rPr>
          <w:sz w:val="24"/>
          <w:szCs w:val="24"/>
        </w:rPr>
        <w:t xml:space="preserve">Figure </w:t>
      </w:r>
      <w:r w:rsidRPr="005848D6">
        <w:rPr>
          <w:sz w:val="24"/>
          <w:szCs w:val="24"/>
        </w:rPr>
        <w:fldChar w:fldCharType="begin"/>
      </w:r>
      <w:r w:rsidRPr="005848D6">
        <w:rPr>
          <w:sz w:val="24"/>
          <w:szCs w:val="24"/>
        </w:rPr>
        <w:instrText xml:space="preserve"> SEQ Figure \* ARABIC </w:instrText>
      </w:r>
      <w:r w:rsidRPr="005848D6">
        <w:rPr>
          <w:sz w:val="24"/>
          <w:szCs w:val="24"/>
        </w:rPr>
        <w:fldChar w:fldCharType="separate"/>
      </w:r>
      <w:r w:rsidRPr="005848D6">
        <w:rPr>
          <w:noProof/>
          <w:sz w:val="24"/>
          <w:szCs w:val="24"/>
        </w:rPr>
        <w:t>7</w:t>
      </w:r>
      <w:r w:rsidRPr="005848D6">
        <w:rPr>
          <w:sz w:val="24"/>
          <w:szCs w:val="24"/>
        </w:rPr>
        <w:fldChar w:fldCharType="end"/>
      </w:r>
      <w:r w:rsidRPr="005848D6">
        <w:rPr>
          <w:sz w:val="24"/>
          <w:szCs w:val="24"/>
        </w:rPr>
        <w:t>: Shear Stress vs Normal Stress Graph</w:t>
      </w:r>
    </w:p>
    <w:sectPr w:rsidR="002B7C8D" w:rsidRPr="005848D6" w:rsidSect="0054271E"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C62" w:rsidRDefault="004E5C62" w:rsidP="00B039AB">
      <w:pPr>
        <w:spacing w:after="0" w:line="240" w:lineRule="auto"/>
      </w:pPr>
      <w:r>
        <w:separator/>
      </w:r>
    </w:p>
  </w:endnote>
  <w:endnote w:type="continuationSeparator" w:id="0">
    <w:p w:rsidR="004E5C62" w:rsidRDefault="004E5C62" w:rsidP="00B0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98"/>
      <w:docPartObj>
        <w:docPartGallery w:val="Page Numbers (Bottom of Page)"/>
        <w:docPartUnique/>
      </w:docPartObj>
    </w:sdtPr>
    <w:sdtEndPr/>
    <w:sdtContent>
      <w:p w:rsidR="005F42D4" w:rsidRDefault="005F42D4">
        <w:pPr>
          <w:pStyle w:val="Altbilgi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6AE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F42D4" w:rsidRDefault="005F42D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C62" w:rsidRDefault="004E5C62" w:rsidP="00B039AB">
      <w:pPr>
        <w:spacing w:after="0" w:line="240" w:lineRule="auto"/>
      </w:pPr>
      <w:r>
        <w:separator/>
      </w:r>
    </w:p>
  </w:footnote>
  <w:footnote w:type="continuationSeparator" w:id="0">
    <w:p w:rsidR="004E5C62" w:rsidRDefault="004E5C62" w:rsidP="00B03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6A26"/>
    <w:multiLevelType w:val="hybridMultilevel"/>
    <w:tmpl w:val="20D00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B68BB"/>
    <w:multiLevelType w:val="hybridMultilevel"/>
    <w:tmpl w:val="468268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20E4F"/>
    <w:multiLevelType w:val="hybridMultilevel"/>
    <w:tmpl w:val="B4CC9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B328D"/>
    <w:multiLevelType w:val="hybridMultilevel"/>
    <w:tmpl w:val="FB243A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20B6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742E3"/>
    <w:multiLevelType w:val="hybridMultilevel"/>
    <w:tmpl w:val="04EE93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35F38"/>
    <w:multiLevelType w:val="hybridMultilevel"/>
    <w:tmpl w:val="5A9EDA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B580D"/>
    <w:multiLevelType w:val="hybridMultilevel"/>
    <w:tmpl w:val="131A49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06B3D"/>
    <w:multiLevelType w:val="hybridMultilevel"/>
    <w:tmpl w:val="B9129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C6A04"/>
    <w:multiLevelType w:val="hybridMultilevel"/>
    <w:tmpl w:val="ED64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F0791"/>
    <w:multiLevelType w:val="hybridMultilevel"/>
    <w:tmpl w:val="EDCC3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FD6BD9"/>
    <w:multiLevelType w:val="hybridMultilevel"/>
    <w:tmpl w:val="5E32FE60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622270FC"/>
    <w:multiLevelType w:val="hybridMultilevel"/>
    <w:tmpl w:val="6D189F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735F9"/>
    <w:multiLevelType w:val="hybridMultilevel"/>
    <w:tmpl w:val="B96AA79E"/>
    <w:lvl w:ilvl="0" w:tplc="383E2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0414B"/>
    <w:multiLevelType w:val="hybridMultilevel"/>
    <w:tmpl w:val="06962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F5D4E"/>
    <w:multiLevelType w:val="hybridMultilevel"/>
    <w:tmpl w:val="D6A4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240E4"/>
    <w:multiLevelType w:val="hybridMultilevel"/>
    <w:tmpl w:val="EA869712"/>
    <w:lvl w:ilvl="0" w:tplc="4C7E10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4210DC"/>
    <w:multiLevelType w:val="hybridMultilevel"/>
    <w:tmpl w:val="0BD4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0"/>
  </w:num>
  <w:num w:numId="5">
    <w:abstractNumId w:val="3"/>
  </w:num>
  <w:num w:numId="6">
    <w:abstractNumId w:val="5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15"/>
  </w:num>
  <w:num w:numId="13">
    <w:abstractNumId w:val="1"/>
  </w:num>
  <w:num w:numId="14">
    <w:abstractNumId w:val="16"/>
  </w:num>
  <w:num w:numId="15">
    <w:abstractNumId w:val="9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19"/>
    <w:rsid w:val="00006E88"/>
    <w:rsid w:val="000719CF"/>
    <w:rsid w:val="000823B5"/>
    <w:rsid w:val="00085725"/>
    <w:rsid w:val="000976C4"/>
    <w:rsid w:val="000B02B2"/>
    <w:rsid w:val="000C44B5"/>
    <w:rsid w:val="000E2B6A"/>
    <w:rsid w:val="000F0252"/>
    <w:rsid w:val="000F7797"/>
    <w:rsid w:val="00103FCD"/>
    <w:rsid w:val="00116CE8"/>
    <w:rsid w:val="001313CA"/>
    <w:rsid w:val="00131495"/>
    <w:rsid w:val="00145AFE"/>
    <w:rsid w:val="00192E1C"/>
    <w:rsid w:val="001A0A40"/>
    <w:rsid w:val="001B612C"/>
    <w:rsid w:val="001B7370"/>
    <w:rsid w:val="001B7392"/>
    <w:rsid w:val="001C37A2"/>
    <w:rsid w:val="001D62BA"/>
    <w:rsid w:val="001F4EA4"/>
    <w:rsid w:val="00225020"/>
    <w:rsid w:val="0024713C"/>
    <w:rsid w:val="00266C8D"/>
    <w:rsid w:val="00283800"/>
    <w:rsid w:val="002853F5"/>
    <w:rsid w:val="00292E4A"/>
    <w:rsid w:val="00292FB1"/>
    <w:rsid w:val="00296AB3"/>
    <w:rsid w:val="002B7C8D"/>
    <w:rsid w:val="002E7154"/>
    <w:rsid w:val="0030450A"/>
    <w:rsid w:val="00305504"/>
    <w:rsid w:val="00324252"/>
    <w:rsid w:val="00330CA2"/>
    <w:rsid w:val="00336062"/>
    <w:rsid w:val="00345A36"/>
    <w:rsid w:val="003B6398"/>
    <w:rsid w:val="003C0AC6"/>
    <w:rsid w:val="003D418D"/>
    <w:rsid w:val="003F364F"/>
    <w:rsid w:val="00407C5B"/>
    <w:rsid w:val="00412828"/>
    <w:rsid w:val="00427225"/>
    <w:rsid w:val="00436A36"/>
    <w:rsid w:val="00442467"/>
    <w:rsid w:val="004425FB"/>
    <w:rsid w:val="004522B3"/>
    <w:rsid w:val="0046313B"/>
    <w:rsid w:val="004634E1"/>
    <w:rsid w:val="004710AE"/>
    <w:rsid w:val="00484002"/>
    <w:rsid w:val="0048642A"/>
    <w:rsid w:val="004951B9"/>
    <w:rsid w:val="00495D1D"/>
    <w:rsid w:val="004974F7"/>
    <w:rsid w:val="004B29C3"/>
    <w:rsid w:val="004C7182"/>
    <w:rsid w:val="004D33C4"/>
    <w:rsid w:val="004D6818"/>
    <w:rsid w:val="004E5C62"/>
    <w:rsid w:val="004E6F02"/>
    <w:rsid w:val="004F06BB"/>
    <w:rsid w:val="005056E7"/>
    <w:rsid w:val="00511EB1"/>
    <w:rsid w:val="00512786"/>
    <w:rsid w:val="00515D21"/>
    <w:rsid w:val="00516591"/>
    <w:rsid w:val="0054271E"/>
    <w:rsid w:val="005477F7"/>
    <w:rsid w:val="005848D6"/>
    <w:rsid w:val="005936C5"/>
    <w:rsid w:val="005C2608"/>
    <w:rsid w:val="005D631D"/>
    <w:rsid w:val="005F42D4"/>
    <w:rsid w:val="00613137"/>
    <w:rsid w:val="00617145"/>
    <w:rsid w:val="006367AA"/>
    <w:rsid w:val="00636CF9"/>
    <w:rsid w:val="0064194C"/>
    <w:rsid w:val="00656491"/>
    <w:rsid w:val="00657278"/>
    <w:rsid w:val="00680792"/>
    <w:rsid w:val="006B6EB9"/>
    <w:rsid w:val="006C1947"/>
    <w:rsid w:val="006D2BD6"/>
    <w:rsid w:val="006F4F6B"/>
    <w:rsid w:val="00701F5F"/>
    <w:rsid w:val="0072548A"/>
    <w:rsid w:val="00761AD3"/>
    <w:rsid w:val="007740A3"/>
    <w:rsid w:val="00784EB7"/>
    <w:rsid w:val="00797235"/>
    <w:rsid w:val="007972B5"/>
    <w:rsid w:val="007A12B6"/>
    <w:rsid w:val="007A269D"/>
    <w:rsid w:val="007B5686"/>
    <w:rsid w:val="007B5769"/>
    <w:rsid w:val="007C3107"/>
    <w:rsid w:val="007C512E"/>
    <w:rsid w:val="007D6A0E"/>
    <w:rsid w:val="007D7FC3"/>
    <w:rsid w:val="008028A2"/>
    <w:rsid w:val="00805B48"/>
    <w:rsid w:val="00811E42"/>
    <w:rsid w:val="008174C2"/>
    <w:rsid w:val="0082157A"/>
    <w:rsid w:val="008325CD"/>
    <w:rsid w:val="008411B8"/>
    <w:rsid w:val="00841E04"/>
    <w:rsid w:val="00843F9F"/>
    <w:rsid w:val="00844C31"/>
    <w:rsid w:val="00866C94"/>
    <w:rsid w:val="0087063A"/>
    <w:rsid w:val="008852C7"/>
    <w:rsid w:val="00890C2F"/>
    <w:rsid w:val="008A43C5"/>
    <w:rsid w:val="008B236B"/>
    <w:rsid w:val="008B4CE2"/>
    <w:rsid w:val="008B4F6D"/>
    <w:rsid w:val="008D1888"/>
    <w:rsid w:val="008F02DE"/>
    <w:rsid w:val="00907B21"/>
    <w:rsid w:val="0091161D"/>
    <w:rsid w:val="00915260"/>
    <w:rsid w:val="0091768B"/>
    <w:rsid w:val="00920A94"/>
    <w:rsid w:val="00930D14"/>
    <w:rsid w:val="009310D6"/>
    <w:rsid w:val="00945AA3"/>
    <w:rsid w:val="0095389C"/>
    <w:rsid w:val="009806D9"/>
    <w:rsid w:val="00985DA5"/>
    <w:rsid w:val="00987D1E"/>
    <w:rsid w:val="009A2937"/>
    <w:rsid w:val="009B63B0"/>
    <w:rsid w:val="009F67AB"/>
    <w:rsid w:val="00A125B1"/>
    <w:rsid w:val="00A25D85"/>
    <w:rsid w:val="00A64A49"/>
    <w:rsid w:val="00A67931"/>
    <w:rsid w:val="00A934D1"/>
    <w:rsid w:val="00AA2AD5"/>
    <w:rsid w:val="00AB0578"/>
    <w:rsid w:val="00AB2CD2"/>
    <w:rsid w:val="00AB31E8"/>
    <w:rsid w:val="00AC1599"/>
    <w:rsid w:val="00AD241C"/>
    <w:rsid w:val="00AF2E52"/>
    <w:rsid w:val="00B03125"/>
    <w:rsid w:val="00B039AB"/>
    <w:rsid w:val="00B1117C"/>
    <w:rsid w:val="00B171E9"/>
    <w:rsid w:val="00B21D19"/>
    <w:rsid w:val="00B34192"/>
    <w:rsid w:val="00B400A2"/>
    <w:rsid w:val="00B427EC"/>
    <w:rsid w:val="00B523D8"/>
    <w:rsid w:val="00B62F11"/>
    <w:rsid w:val="00B63F33"/>
    <w:rsid w:val="00B6630A"/>
    <w:rsid w:val="00B67EDC"/>
    <w:rsid w:val="00B72076"/>
    <w:rsid w:val="00B776ED"/>
    <w:rsid w:val="00B7784D"/>
    <w:rsid w:val="00B806AE"/>
    <w:rsid w:val="00B8198F"/>
    <w:rsid w:val="00B87DDD"/>
    <w:rsid w:val="00B953DB"/>
    <w:rsid w:val="00B95F8B"/>
    <w:rsid w:val="00BB00A3"/>
    <w:rsid w:val="00BC038F"/>
    <w:rsid w:val="00BC051E"/>
    <w:rsid w:val="00BC082F"/>
    <w:rsid w:val="00BD1626"/>
    <w:rsid w:val="00BD2AC0"/>
    <w:rsid w:val="00BE619E"/>
    <w:rsid w:val="00BE6A21"/>
    <w:rsid w:val="00BE6A53"/>
    <w:rsid w:val="00BF29AD"/>
    <w:rsid w:val="00C24EB0"/>
    <w:rsid w:val="00C30C52"/>
    <w:rsid w:val="00C906DE"/>
    <w:rsid w:val="00CB7818"/>
    <w:rsid w:val="00CC17DA"/>
    <w:rsid w:val="00CF1E9F"/>
    <w:rsid w:val="00D06088"/>
    <w:rsid w:val="00D074D2"/>
    <w:rsid w:val="00D3633D"/>
    <w:rsid w:val="00D42329"/>
    <w:rsid w:val="00D47C93"/>
    <w:rsid w:val="00D53BE6"/>
    <w:rsid w:val="00D54BCB"/>
    <w:rsid w:val="00D62963"/>
    <w:rsid w:val="00D70B95"/>
    <w:rsid w:val="00D77293"/>
    <w:rsid w:val="00D948B1"/>
    <w:rsid w:val="00D979A9"/>
    <w:rsid w:val="00DA2436"/>
    <w:rsid w:val="00DA3620"/>
    <w:rsid w:val="00DB085B"/>
    <w:rsid w:val="00DB4309"/>
    <w:rsid w:val="00DE6F69"/>
    <w:rsid w:val="00DF4963"/>
    <w:rsid w:val="00DF7F64"/>
    <w:rsid w:val="00E06EB4"/>
    <w:rsid w:val="00E17908"/>
    <w:rsid w:val="00E317AE"/>
    <w:rsid w:val="00E33BC0"/>
    <w:rsid w:val="00E47226"/>
    <w:rsid w:val="00E532A2"/>
    <w:rsid w:val="00E76250"/>
    <w:rsid w:val="00E769D6"/>
    <w:rsid w:val="00E80A2D"/>
    <w:rsid w:val="00E97B49"/>
    <w:rsid w:val="00EC19F0"/>
    <w:rsid w:val="00ED0F7D"/>
    <w:rsid w:val="00EE063E"/>
    <w:rsid w:val="00EE19F4"/>
    <w:rsid w:val="00EE4092"/>
    <w:rsid w:val="00EE66E4"/>
    <w:rsid w:val="00F002A6"/>
    <w:rsid w:val="00F07F6C"/>
    <w:rsid w:val="00F15909"/>
    <w:rsid w:val="00F16C0C"/>
    <w:rsid w:val="00F20752"/>
    <w:rsid w:val="00F360F3"/>
    <w:rsid w:val="00F57E19"/>
    <w:rsid w:val="00F652B6"/>
    <w:rsid w:val="00F65616"/>
    <w:rsid w:val="00F65D46"/>
    <w:rsid w:val="00F661E0"/>
    <w:rsid w:val="00F72E6B"/>
    <w:rsid w:val="00F75F8C"/>
    <w:rsid w:val="00F93F60"/>
    <w:rsid w:val="00FA7507"/>
    <w:rsid w:val="00FB24C2"/>
    <w:rsid w:val="00FB4636"/>
    <w:rsid w:val="00FD390C"/>
    <w:rsid w:val="00FE142B"/>
    <w:rsid w:val="00FE66E2"/>
    <w:rsid w:val="00F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1914E-E0BB-4FE1-943F-1AAFED0E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D19"/>
  </w:style>
  <w:style w:type="paragraph" w:styleId="Balk1">
    <w:name w:val="heading 1"/>
    <w:basedOn w:val="Normal"/>
    <w:next w:val="Normal"/>
    <w:link w:val="Balk1Char"/>
    <w:uiPriority w:val="9"/>
    <w:qFormat/>
    <w:rsid w:val="00593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16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3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C17DA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CC17DA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116CE8"/>
    <w:pPr>
      <w:tabs>
        <w:tab w:val="right" w:leader="dot" w:pos="9350"/>
      </w:tabs>
      <w:spacing w:after="100"/>
    </w:pPr>
  </w:style>
  <w:style w:type="character" w:styleId="Kpr">
    <w:name w:val="Hyperlink"/>
    <w:basedOn w:val="VarsaylanParagrafYazTipi"/>
    <w:uiPriority w:val="99"/>
    <w:unhideWhenUsed/>
    <w:rsid w:val="00CC17DA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03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039AB"/>
  </w:style>
  <w:style w:type="paragraph" w:styleId="Altbilgi">
    <w:name w:val="footer"/>
    <w:basedOn w:val="Normal"/>
    <w:link w:val="AltbilgiChar"/>
    <w:uiPriority w:val="99"/>
    <w:unhideWhenUsed/>
    <w:rsid w:val="00B03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039AB"/>
  </w:style>
  <w:style w:type="paragraph" w:styleId="ResimYazs">
    <w:name w:val="caption"/>
    <w:basedOn w:val="Normal"/>
    <w:next w:val="Normal"/>
    <w:uiPriority w:val="35"/>
    <w:unhideWhenUsed/>
    <w:qFormat/>
    <w:rsid w:val="00EE66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116C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2">
    <w:name w:val="toc 2"/>
    <w:basedOn w:val="Normal"/>
    <w:next w:val="Normal"/>
    <w:autoRedefine/>
    <w:uiPriority w:val="39"/>
    <w:unhideWhenUsed/>
    <w:rsid w:val="00116C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at\Desktop\Esat%20&#199;ANDIR%20CE363%20Direct%20Shear%20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at\Desktop\Esat%20&#199;ANDIR%20CE363%20Direct%20Shear%20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at\Desktop\Esat%20&#199;ANDIR%20CE363%20Direct%20Shear%20Te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at\Desktop\Esat%20&#199;ANDIR%20CE363%20Direct%20Shear%20Te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at\Desktop\Esat%20&#199;ANDIR%20CE363%20Direct%20Shear%20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22"/>
    </mc:Choice>
    <mc:Fallback>
      <c:style val="2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normal</a:t>
            </a:r>
            <a:r>
              <a:rPr lang="en-US"/>
              <a:t> stress vs </a:t>
            </a:r>
            <a:r>
              <a:rPr lang="tr-TR"/>
              <a:t>shear</a:t>
            </a:r>
            <a:r>
              <a:rPr lang="en-US"/>
              <a:t> stress</a:t>
            </a:r>
            <a:r>
              <a:rPr lang="tr-TR" baseline="0"/>
              <a:t> for 21,5 kg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133573928258967"/>
          <c:y val="0.19943314377369495"/>
          <c:w val="0.5347259405074366"/>
          <c:h val="0.75379593175853021"/>
        </c:manualLayout>
      </c:layout>
      <c:scatterChart>
        <c:scatterStyle val="smoothMarker"/>
        <c:varyColors val="0"/>
        <c:ser>
          <c:idx val="0"/>
          <c:order val="0"/>
          <c:marker>
            <c:symbol val="none"/>
          </c:marker>
          <c:trendline>
            <c:trendlineType val="linear"/>
            <c:intercept val="0"/>
            <c:dispRSqr val="0"/>
            <c:dispEq val="1"/>
            <c:trendlineLbl>
              <c:numFmt formatCode="General" sourceLinked="0"/>
            </c:trendlineLbl>
          </c:trendline>
          <c:xVal>
            <c:numRef>
              <c:f>Sheet1!$M$8:$M$23</c:f>
              <c:numCache>
                <c:formatCode>0.0000</c:formatCode>
                <c:ptCount val="16"/>
                <c:pt idx="0">
                  <c:v>0</c:v>
                </c:pt>
                <c:pt idx="1">
                  <c:v>6.6599372206043006E-2</c:v>
                </c:pt>
                <c:pt idx="2">
                  <c:v>6.6733178957656958E-2</c:v>
                </c:pt>
                <c:pt idx="3">
                  <c:v>6.6867524127982123E-2</c:v>
                </c:pt>
                <c:pt idx="4">
                  <c:v>6.7002410638145674E-2</c:v>
                </c:pt>
                <c:pt idx="5">
                  <c:v>6.7137841430155817E-2</c:v>
                </c:pt>
                <c:pt idx="6">
                  <c:v>6.7273819467083107E-2</c:v>
                </c:pt>
                <c:pt idx="7">
                  <c:v>6.7410347733243545E-2</c:v>
                </c:pt>
                <c:pt idx="8">
                  <c:v>6.7547429234383588E-2</c:v>
                </c:pt>
                <c:pt idx="9">
                  <c:v>6.7685066997867166E-2</c:v>
                </c:pt>
                <c:pt idx="10">
                  <c:v>6.7823264072864445E-2</c:v>
                </c:pt>
                <c:pt idx="11">
                  <c:v>6.7962023530542842E-2</c:v>
                </c:pt>
                <c:pt idx="12">
                  <c:v>6.8101348464259789E-2</c:v>
                </c:pt>
                <c:pt idx="13">
                  <c:v>6.8241241989757534E-2</c:v>
                </c:pt>
                <c:pt idx="14">
                  <c:v>6.8381707245360121E-2</c:v>
                </c:pt>
                <c:pt idx="15">
                  <c:v>6.8522747392172317E-2</c:v>
                </c:pt>
              </c:numCache>
            </c:numRef>
          </c:xVal>
          <c:yVal>
            <c:numRef>
              <c:f>Sheet1!$L$8:$L$23</c:f>
              <c:numCache>
                <c:formatCode>0.00000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1.718922535197694E-4</c:v>
                </c:pt>
                <c:pt idx="3">
                  <c:v>2.5614926917119104E-4</c:v>
                </c:pt>
                <c:pt idx="4">
                  <c:v>2.9649345805177576E-4</c:v>
                </c:pt>
                <c:pt idx="5">
                  <c:v>3.3256651685170202E-4</c:v>
                </c:pt>
                <c:pt idx="6">
                  <c:v>3.732288923736591E-4</c:v>
                </c:pt>
                <c:pt idx="7">
                  <c:v>3.9624743007103804E-4</c:v>
                </c:pt>
                <c:pt idx="8">
                  <c:v>4.2828211875493806E-4</c:v>
                </c:pt>
                <c:pt idx="9">
                  <c:v>4.6491770670907084E-4</c:v>
                </c:pt>
                <c:pt idx="10">
                  <c:v>4.8378491991695301E-4</c:v>
                </c:pt>
                <c:pt idx="11">
                  <c:v>4.8926334893290328E-4</c:v>
                </c:pt>
                <c:pt idx="12">
                  <c:v>5.0375992836073854E-4</c:v>
                </c:pt>
                <c:pt idx="13">
                  <c:v>5.1831603799662343E-4</c:v>
                </c:pt>
                <c:pt idx="14">
                  <c:v>5.2841566705786648E-4</c:v>
                </c:pt>
                <c:pt idx="15">
                  <c:v>5.3855692345717557E-4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065376"/>
        <c:axId val="165064256"/>
      </c:scatterChart>
      <c:valAx>
        <c:axId val="165065376"/>
        <c:scaling>
          <c:orientation val="minMax"/>
        </c:scaling>
        <c:delete val="0"/>
        <c:axPos val="b"/>
        <c:numFmt formatCode="0.0000" sourceLinked="1"/>
        <c:majorTickMark val="out"/>
        <c:minorTickMark val="none"/>
        <c:tickLblPos val="nextTo"/>
        <c:crossAx val="165064256"/>
        <c:crosses val="autoZero"/>
        <c:crossBetween val="midCat"/>
      </c:valAx>
      <c:valAx>
        <c:axId val="165064256"/>
        <c:scaling>
          <c:orientation val="minMax"/>
        </c:scaling>
        <c:delete val="0"/>
        <c:axPos val="l"/>
        <c:majorGridlines/>
        <c:numFmt formatCode="0.00000" sourceLinked="1"/>
        <c:majorTickMark val="out"/>
        <c:minorTickMark val="none"/>
        <c:tickLblPos val="nextTo"/>
        <c:crossAx val="1650653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22"/>
    </mc:Choice>
    <mc:Fallback>
      <c:style val="2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normal</a:t>
            </a:r>
            <a:r>
              <a:rPr lang="en-US"/>
              <a:t> stress</a:t>
            </a:r>
            <a:r>
              <a:rPr lang="tr-TR" baseline="0"/>
              <a:t> </a:t>
            </a:r>
            <a:r>
              <a:rPr lang="en-US"/>
              <a:t>vs </a:t>
            </a:r>
            <a:r>
              <a:rPr lang="tr-TR"/>
              <a:t>shear</a:t>
            </a:r>
            <a:r>
              <a:rPr lang="en-US"/>
              <a:t> stress</a:t>
            </a:r>
            <a:r>
              <a:rPr lang="tr-TR"/>
              <a:t> for 41,5 kg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133573928258967"/>
          <c:y val="0.19943314377369495"/>
          <c:w val="0.5347259405074366"/>
          <c:h val="0.75379593175853021"/>
        </c:manualLayout>
      </c:layout>
      <c:scatterChart>
        <c:scatterStyle val="smoothMarker"/>
        <c:varyColors val="0"/>
        <c:ser>
          <c:idx val="0"/>
          <c:order val="0"/>
          <c:marker>
            <c:symbol val="none"/>
          </c:marker>
          <c:trendline>
            <c:trendlineType val="linear"/>
            <c:intercept val="0"/>
            <c:dispRSqr val="0"/>
            <c:dispEq val="1"/>
            <c:trendlineLbl>
              <c:layout>
                <c:manualLayout>
                  <c:x val="0.17431627296587926"/>
                  <c:y val="1.2997229512977545E-2"/>
                </c:manualLayout>
              </c:layout>
              <c:numFmt formatCode="General" sourceLinked="0"/>
            </c:trendlineLbl>
          </c:trendline>
          <c:xVal>
            <c:numRef>
              <c:f>Sheet1!$M$24:$M$34</c:f>
              <c:numCache>
                <c:formatCode>0.0000</c:formatCode>
                <c:ptCount val="11"/>
                <c:pt idx="0">
                  <c:v>0.13226483798954189</c:v>
                </c:pt>
                <c:pt idx="1">
                  <c:v>0.13253819409268117</c:v>
                </c:pt>
                <c:pt idx="2">
                  <c:v>0.13281267220635781</c:v>
                </c:pt>
                <c:pt idx="3">
                  <c:v>0.13308827856650005</c:v>
                </c:pt>
                <c:pt idx="4">
                  <c:v>0.13336501945458501</c:v>
                </c:pt>
                <c:pt idx="5">
                  <c:v>0.13364290119804342</c:v>
                </c:pt>
                <c:pt idx="6">
                  <c:v>0.13392193017066861</c:v>
                </c:pt>
                <c:pt idx="7">
                  <c:v>0.1342021127930296</c:v>
                </c:pt>
                <c:pt idx="8">
                  <c:v>0.13448345553288879</c:v>
                </c:pt>
                <c:pt idx="9">
                  <c:v>0.13476596490562412</c:v>
                </c:pt>
                <c:pt idx="10">
                  <c:v>0.1350496474746555</c:v>
                </c:pt>
              </c:numCache>
            </c:numRef>
          </c:xVal>
          <c:yVal>
            <c:numRef>
              <c:f>Sheet1!$L$24:$L$34</c:f>
              <c:numCache>
                <c:formatCode>0.00000</c:formatCode>
                <c:ptCount val="11"/>
                <c:pt idx="0">
                  <c:v>5.3855692345717557E-4</c:v>
                </c:pt>
                <c:pt idx="1">
                  <c:v>5.3966997681400631E-4</c:v>
                </c:pt>
                <c:pt idx="2">
                  <c:v>8.9979785343468819E-4</c:v>
                </c:pt>
                <c:pt idx="3">
                  <c:v>9.7908075774343268E-4</c:v>
                </c:pt>
                <c:pt idx="4">
                  <c:v>1.0039333030749966E-3</c:v>
                </c:pt>
                <c:pt idx="5">
                  <c:v>1.0151707993655713E-3</c:v>
                </c:pt>
                <c:pt idx="6">
                  <c:v>1.0264551216550911E-3</c:v>
                </c:pt>
                <c:pt idx="7">
                  <c:v>1.0286026033061893E-3</c:v>
                </c:pt>
                <c:pt idx="8">
                  <c:v>1.0307589767687053E-3</c:v>
                </c:pt>
                <c:pt idx="9">
                  <c:v>1.0237017536590108E-3</c:v>
                </c:pt>
                <c:pt idx="10">
                  <c:v>1.0258566474677206E-3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131040"/>
        <c:axId val="168131600"/>
      </c:scatterChart>
      <c:valAx>
        <c:axId val="168131040"/>
        <c:scaling>
          <c:orientation val="minMax"/>
        </c:scaling>
        <c:delete val="0"/>
        <c:axPos val="b"/>
        <c:numFmt formatCode="0.0000" sourceLinked="1"/>
        <c:majorTickMark val="out"/>
        <c:minorTickMark val="none"/>
        <c:tickLblPos val="nextTo"/>
        <c:crossAx val="168131600"/>
        <c:crosses val="autoZero"/>
        <c:crossBetween val="midCat"/>
      </c:valAx>
      <c:valAx>
        <c:axId val="168131600"/>
        <c:scaling>
          <c:orientation val="minMax"/>
        </c:scaling>
        <c:delete val="0"/>
        <c:axPos val="l"/>
        <c:majorGridlines/>
        <c:numFmt formatCode="0.00000" sourceLinked="1"/>
        <c:majorTickMark val="out"/>
        <c:minorTickMark val="none"/>
        <c:tickLblPos val="nextTo"/>
        <c:crossAx val="1681310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shear disp vs shear stress</c:v>
          </c:tx>
          <c:marker>
            <c:symbol val="none"/>
          </c:marker>
          <c:xVal>
            <c:numRef>
              <c:f>Sheet1!$F$8:$F$34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0.4</c:v>
                </c:pt>
                <c:pt idx="6">
                  <c:v>0.5</c:v>
                </c:pt>
                <c:pt idx="7">
                  <c:v>0.6</c:v>
                </c:pt>
                <c:pt idx="8">
                  <c:v>0.70000000000000007</c:v>
                </c:pt>
                <c:pt idx="9">
                  <c:v>0.8</c:v>
                </c:pt>
                <c:pt idx="10">
                  <c:v>0.9</c:v>
                </c:pt>
                <c:pt idx="11">
                  <c:v>1</c:v>
                </c:pt>
                <c:pt idx="12">
                  <c:v>1.1000000000000001</c:v>
                </c:pt>
                <c:pt idx="13">
                  <c:v>1.2</c:v>
                </c:pt>
                <c:pt idx="14">
                  <c:v>1.3</c:v>
                </c:pt>
                <c:pt idx="15">
                  <c:v>1.4000000000000001</c:v>
                </c:pt>
                <c:pt idx="16">
                  <c:v>1.4000000000000001</c:v>
                </c:pt>
                <c:pt idx="17">
                  <c:v>1.5</c:v>
                </c:pt>
                <c:pt idx="18">
                  <c:v>1.6</c:v>
                </c:pt>
                <c:pt idx="19">
                  <c:v>1.7</c:v>
                </c:pt>
                <c:pt idx="20">
                  <c:v>1.8</c:v>
                </c:pt>
                <c:pt idx="21">
                  <c:v>1.9000000000000001</c:v>
                </c:pt>
                <c:pt idx="22">
                  <c:v>2</c:v>
                </c:pt>
                <c:pt idx="23">
                  <c:v>2.1</c:v>
                </c:pt>
                <c:pt idx="24">
                  <c:v>2.2000000000000002</c:v>
                </c:pt>
                <c:pt idx="25">
                  <c:v>2.3000000000000003</c:v>
                </c:pt>
                <c:pt idx="26">
                  <c:v>2.4</c:v>
                </c:pt>
              </c:numCache>
            </c:numRef>
          </c:xVal>
          <c:yVal>
            <c:numRef>
              <c:f>Sheet1!$L$8:$L$34</c:f>
              <c:numCache>
                <c:formatCode>0.00000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1.718922535197694E-4</c:v>
                </c:pt>
                <c:pt idx="3">
                  <c:v>2.5614926917119104E-4</c:v>
                </c:pt>
                <c:pt idx="4">
                  <c:v>2.9649345805177576E-4</c:v>
                </c:pt>
                <c:pt idx="5">
                  <c:v>3.3256651685170202E-4</c:v>
                </c:pt>
                <c:pt idx="6">
                  <c:v>3.732288923736591E-4</c:v>
                </c:pt>
                <c:pt idx="7">
                  <c:v>3.9624743007103804E-4</c:v>
                </c:pt>
                <c:pt idx="8">
                  <c:v>4.2828211875493806E-4</c:v>
                </c:pt>
                <c:pt idx="9">
                  <c:v>4.6491770670907084E-4</c:v>
                </c:pt>
                <c:pt idx="10">
                  <c:v>4.8378491991695301E-4</c:v>
                </c:pt>
                <c:pt idx="11">
                  <c:v>4.8926334893290328E-4</c:v>
                </c:pt>
                <c:pt idx="12">
                  <c:v>5.0375992836073854E-4</c:v>
                </c:pt>
                <c:pt idx="13">
                  <c:v>5.1831603799662343E-4</c:v>
                </c:pt>
                <c:pt idx="14">
                  <c:v>5.2841566705786648E-4</c:v>
                </c:pt>
                <c:pt idx="15">
                  <c:v>5.3855692345717557E-4</c:v>
                </c:pt>
                <c:pt idx="16">
                  <c:v>5.3855692345717557E-4</c:v>
                </c:pt>
                <c:pt idx="17">
                  <c:v>5.3966997681400631E-4</c:v>
                </c:pt>
                <c:pt idx="18">
                  <c:v>8.9979785343468819E-4</c:v>
                </c:pt>
                <c:pt idx="19">
                  <c:v>9.7908075774343268E-4</c:v>
                </c:pt>
                <c:pt idx="20">
                  <c:v>1.0039333030749966E-3</c:v>
                </c:pt>
                <c:pt idx="21">
                  <c:v>1.0151707993655713E-3</c:v>
                </c:pt>
                <c:pt idx="22">
                  <c:v>1.0264551216550911E-3</c:v>
                </c:pt>
                <c:pt idx="23">
                  <c:v>1.0286026033061893E-3</c:v>
                </c:pt>
                <c:pt idx="24">
                  <c:v>1.0307589767687053E-3</c:v>
                </c:pt>
                <c:pt idx="25">
                  <c:v>1.0237017536590108E-3</c:v>
                </c:pt>
                <c:pt idx="26">
                  <c:v>1.0258566474677206E-3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575456"/>
        <c:axId val="189576016"/>
      </c:scatterChart>
      <c:valAx>
        <c:axId val="189575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200"/>
                  <a:t>Shear Displacement</a:t>
                </a:r>
                <a:endParaRPr lang="en-US" sz="1200"/>
              </a:p>
            </c:rich>
          </c:tx>
          <c:layout>
            <c:manualLayout>
              <c:xMode val="edge"/>
              <c:yMode val="edge"/>
              <c:x val="0.3018814523184602"/>
              <c:y val="0.8951388888888889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89576016"/>
        <c:crosses val="autoZero"/>
        <c:crossBetween val="midCat"/>
      </c:valAx>
      <c:valAx>
        <c:axId val="1895760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1200"/>
                  <a:t>Shear Stress</a:t>
                </a:r>
                <a:endParaRPr lang="en-US" sz="1200"/>
              </a:p>
            </c:rich>
          </c:tx>
          <c:overlay val="0"/>
        </c:title>
        <c:numFmt formatCode="0.00000" sourceLinked="1"/>
        <c:majorTickMark val="none"/>
        <c:minorTickMark val="none"/>
        <c:tickLblPos val="nextTo"/>
        <c:crossAx val="1895754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shear disp vs vertical disp</c:v>
          </c:tx>
          <c:marker>
            <c:symbol val="none"/>
          </c:marker>
          <c:xVal>
            <c:numRef>
              <c:f>Sheet1!$F$8:$F$34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0.4</c:v>
                </c:pt>
                <c:pt idx="6">
                  <c:v>0.5</c:v>
                </c:pt>
                <c:pt idx="7">
                  <c:v>0.6</c:v>
                </c:pt>
                <c:pt idx="8">
                  <c:v>0.70000000000000007</c:v>
                </c:pt>
                <c:pt idx="9">
                  <c:v>0.8</c:v>
                </c:pt>
                <c:pt idx="10">
                  <c:v>0.9</c:v>
                </c:pt>
                <c:pt idx="11">
                  <c:v>1</c:v>
                </c:pt>
                <c:pt idx="12">
                  <c:v>1.1000000000000001</c:v>
                </c:pt>
                <c:pt idx="13">
                  <c:v>1.2</c:v>
                </c:pt>
                <c:pt idx="14">
                  <c:v>1.3</c:v>
                </c:pt>
                <c:pt idx="15">
                  <c:v>1.4000000000000001</c:v>
                </c:pt>
                <c:pt idx="16">
                  <c:v>1.4000000000000001</c:v>
                </c:pt>
                <c:pt idx="17">
                  <c:v>1.5</c:v>
                </c:pt>
                <c:pt idx="18">
                  <c:v>1.6</c:v>
                </c:pt>
                <c:pt idx="19">
                  <c:v>1.7</c:v>
                </c:pt>
                <c:pt idx="20">
                  <c:v>1.8</c:v>
                </c:pt>
                <c:pt idx="21">
                  <c:v>1.9000000000000001</c:v>
                </c:pt>
                <c:pt idx="22">
                  <c:v>2</c:v>
                </c:pt>
                <c:pt idx="23">
                  <c:v>2.1</c:v>
                </c:pt>
                <c:pt idx="24">
                  <c:v>2.2000000000000002</c:v>
                </c:pt>
                <c:pt idx="25">
                  <c:v>2.3000000000000003</c:v>
                </c:pt>
                <c:pt idx="26">
                  <c:v>2.4</c:v>
                </c:pt>
              </c:numCache>
            </c:numRef>
          </c:xVal>
          <c:yVal>
            <c:numRef>
              <c:f>Sheet1!$H$8:$H$34</c:f>
              <c:numCache>
                <c:formatCode>General</c:formatCode>
                <c:ptCount val="27"/>
                <c:pt idx="0">
                  <c:v>0</c:v>
                </c:pt>
                <c:pt idx="1">
                  <c:v>0.3</c:v>
                </c:pt>
                <c:pt idx="2">
                  <c:v>0.33</c:v>
                </c:pt>
                <c:pt idx="3">
                  <c:v>0.35000000000000003</c:v>
                </c:pt>
                <c:pt idx="4">
                  <c:v>0.37</c:v>
                </c:pt>
                <c:pt idx="5">
                  <c:v>0.39</c:v>
                </c:pt>
                <c:pt idx="6">
                  <c:v>0.39</c:v>
                </c:pt>
                <c:pt idx="7">
                  <c:v>0.42</c:v>
                </c:pt>
                <c:pt idx="8">
                  <c:v>0.43</c:v>
                </c:pt>
                <c:pt idx="9">
                  <c:v>0.48</c:v>
                </c:pt>
                <c:pt idx="10">
                  <c:v>0.48</c:v>
                </c:pt>
                <c:pt idx="11">
                  <c:v>0.48</c:v>
                </c:pt>
                <c:pt idx="12">
                  <c:v>0.48</c:v>
                </c:pt>
                <c:pt idx="13">
                  <c:v>0.47000000000000003</c:v>
                </c:pt>
                <c:pt idx="14">
                  <c:v>0.46</c:v>
                </c:pt>
                <c:pt idx="15">
                  <c:v>0.46</c:v>
                </c:pt>
                <c:pt idx="16">
                  <c:v>0.46</c:v>
                </c:pt>
                <c:pt idx="17">
                  <c:v>0.53</c:v>
                </c:pt>
                <c:pt idx="18">
                  <c:v>0.55000000000000004</c:v>
                </c:pt>
                <c:pt idx="19">
                  <c:v>0.55000000000000004</c:v>
                </c:pt>
                <c:pt idx="20">
                  <c:v>0.55000000000000004</c:v>
                </c:pt>
                <c:pt idx="21">
                  <c:v>0.54</c:v>
                </c:pt>
                <c:pt idx="22">
                  <c:v>0.54</c:v>
                </c:pt>
                <c:pt idx="23">
                  <c:v>0.53</c:v>
                </c:pt>
                <c:pt idx="24">
                  <c:v>0.53</c:v>
                </c:pt>
                <c:pt idx="25">
                  <c:v>0.52</c:v>
                </c:pt>
                <c:pt idx="26">
                  <c:v>0.52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578256"/>
        <c:axId val="189578816"/>
      </c:scatterChart>
      <c:valAx>
        <c:axId val="189578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200"/>
                  <a:t>Shear Displacement</a:t>
                </a:r>
                <a:endParaRPr lang="en-US" sz="1200"/>
              </a:p>
            </c:rich>
          </c:tx>
          <c:layout>
            <c:manualLayout>
              <c:xMode val="edge"/>
              <c:yMode val="edge"/>
              <c:x val="0.44533622952303376"/>
              <c:y val="0.9198787932407325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89578816"/>
        <c:crosses val="autoZero"/>
        <c:crossBetween val="midCat"/>
      </c:valAx>
      <c:valAx>
        <c:axId val="1895788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1200"/>
                  <a:t>Vertical Displacement</a:t>
                </a:r>
                <a:endParaRPr lang="en-US" sz="1200"/>
              </a:p>
            </c:rich>
          </c:tx>
          <c:layout>
            <c:manualLayout>
              <c:xMode val="edge"/>
              <c:yMode val="edge"/>
              <c:x val="2.3988005997001498E-2"/>
              <c:y val="0.2947394497036185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895782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22"/>
    </mc:Choice>
    <mc:Fallback>
      <c:style val="2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Sheet1!$M$8:$M$34</c:f>
              <c:numCache>
                <c:formatCode>0.0000</c:formatCode>
                <c:ptCount val="27"/>
                <c:pt idx="0">
                  <c:v>0</c:v>
                </c:pt>
                <c:pt idx="1">
                  <c:v>6.6599372206043006E-2</c:v>
                </c:pt>
                <c:pt idx="2">
                  <c:v>6.6733178957656958E-2</c:v>
                </c:pt>
                <c:pt idx="3">
                  <c:v>6.6867524127982123E-2</c:v>
                </c:pt>
                <c:pt idx="4">
                  <c:v>6.7002410638145674E-2</c:v>
                </c:pt>
                <c:pt idx="5">
                  <c:v>6.7137841430155817E-2</c:v>
                </c:pt>
                <c:pt idx="6">
                  <c:v>6.7273819467083107E-2</c:v>
                </c:pt>
                <c:pt idx="7">
                  <c:v>6.7410347733243545E-2</c:v>
                </c:pt>
                <c:pt idx="8">
                  <c:v>6.7547429234383588E-2</c:v>
                </c:pt>
                <c:pt idx="9">
                  <c:v>6.7685066997867166E-2</c:v>
                </c:pt>
                <c:pt idx="10">
                  <c:v>6.7823264072864445E-2</c:v>
                </c:pt>
                <c:pt idx="11">
                  <c:v>6.7962023530542842E-2</c:v>
                </c:pt>
                <c:pt idx="12">
                  <c:v>6.8101348464259789E-2</c:v>
                </c:pt>
                <c:pt idx="13">
                  <c:v>6.8241241989757534E-2</c:v>
                </c:pt>
                <c:pt idx="14">
                  <c:v>6.8381707245360121E-2</c:v>
                </c:pt>
                <c:pt idx="15">
                  <c:v>6.8522747392172317E-2</c:v>
                </c:pt>
                <c:pt idx="16">
                  <c:v>0.13226483798954189</c:v>
                </c:pt>
                <c:pt idx="17">
                  <c:v>0.13253819409268117</c:v>
                </c:pt>
                <c:pt idx="18">
                  <c:v>0.13281267220635781</c:v>
                </c:pt>
                <c:pt idx="19">
                  <c:v>0.13308827856650005</c:v>
                </c:pt>
                <c:pt idx="20">
                  <c:v>0.13336501945458501</c:v>
                </c:pt>
                <c:pt idx="21">
                  <c:v>0.13364290119804342</c:v>
                </c:pt>
                <c:pt idx="22">
                  <c:v>0.13392193017066861</c:v>
                </c:pt>
                <c:pt idx="23">
                  <c:v>0.1342021127930296</c:v>
                </c:pt>
                <c:pt idx="24">
                  <c:v>0.13448345553288879</c:v>
                </c:pt>
                <c:pt idx="25">
                  <c:v>0.13476596490562412</c:v>
                </c:pt>
                <c:pt idx="26">
                  <c:v>0.1350496474746555</c:v>
                </c:pt>
              </c:numCache>
            </c:numRef>
          </c:xVal>
          <c:yVal>
            <c:numRef>
              <c:f>Sheet1!$L$8:$L$34</c:f>
              <c:numCache>
                <c:formatCode>0.00000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1.718922535197694E-4</c:v>
                </c:pt>
                <c:pt idx="3">
                  <c:v>2.5614926917119104E-4</c:v>
                </c:pt>
                <c:pt idx="4">
                  <c:v>2.9649345805177576E-4</c:v>
                </c:pt>
                <c:pt idx="5">
                  <c:v>3.3256651685170202E-4</c:v>
                </c:pt>
                <c:pt idx="6">
                  <c:v>3.732288923736591E-4</c:v>
                </c:pt>
                <c:pt idx="7">
                  <c:v>3.9624743007103804E-4</c:v>
                </c:pt>
                <c:pt idx="8">
                  <c:v>4.2828211875493806E-4</c:v>
                </c:pt>
                <c:pt idx="9">
                  <c:v>4.6491770670907084E-4</c:v>
                </c:pt>
                <c:pt idx="10">
                  <c:v>4.8378491991695301E-4</c:v>
                </c:pt>
                <c:pt idx="11">
                  <c:v>4.8926334893290328E-4</c:v>
                </c:pt>
                <c:pt idx="12">
                  <c:v>5.0375992836073854E-4</c:v>
                </c:pt>
                <c:pt idx="13">
                  <c:v>5.1831603799662343E-4</c:v>
                </c:pt>
                <c:pt idx="14">
                  <c:v>5.2841566705786648E-4</c:v>
                </c:pt>
                <c:pt idx="15">
                  <c:v>5.3855692345717557E-4</c:v>
                </c:pt>
                <c:pt idx="16">
                  <c:v>5.3855692345717557E-4</c:v>
                </c:pt>
                <c:pt idx="17">
                  <c:v>5.3966997681400631E-4</c:v>
                </c:pt>
                <c:pt idx="18">
                  <c:v>8.9979785343468819E-4</c:v>
                </c:pt>
                <c:pt idx="19">
                  <c:v>9.7908075774343268E-4</c:v>
                </c:pt>
                <c:pt idx="20">
                  <c:v>1.0039333030749966E-3</c:v>
                </c:pt>
                <c:pt idx="21">
                  <c:v>1.0151707993655713E-3</c:v>
                </c:pt>
                <c:pt idx="22">
                  <c:v>1.0264551216550911E-3</c:v>
                </c:pt>
                <c:pt idx="23">
                  <c:v>1.0286026033061893E-3</c:v>
                </c:pt>
                <c:pt idx="24">
                  <c:v>1.0307589767687053E-3</c:v>
                </c:pt>
                <c:pt idx="25">
                  <c:v>1.0237017536590108E-3</c:v>
                </c:pt>
                <c:pt idx="26">
                  <c:v>1.0258566474677206E-3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581056"/>
        <c:axId val="189581616"/>
      </c:scatterChart>
      <c:valAx>
        <c:axId val="189581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200"/>
                  <a:t>Normal Stress</a:t>
                </a:r>
                <a:endParaRPr lang="en-US" sz="1200"/>
              </a:p>
            </c:rich>
          </c:tx>
          <c:layout>
            <c:manualLayout>
              <c:xMode val="edge"/>
              <c:yMode val="edge"/>
              <c:x val="0.49415168082155669"/>
              <c:y val="0.91705079760472297"/>
            </c:manualLayout>
          </c:layout>
          <c:overlay val="0"/>
        </c:title>
        <c:numFmt formatCode="0.0000" sourceLinked="1"/>
        <c:majorTickMark val="none"/>
        <c:minorTickMark val="none"/>
        <c:tickLblPos val="nextTo"/>
        <c:crossAx val="189581616"/>
        <c:crosses val="autoZero"/>
        <c:crossBetween val="midCat"/>
      </c:valAx>
      <c:valAx>
        <c:axId val="1895816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1200"/>
                  <a:t>Shear</a:t>
                </a:r>
                <a:r>
                  <a:rPr lang="tr-TR" sz="1200" baseline="0"/>
                  <a:t> Stress</a:t>
                </a:r>
                <a:endParaRPr lang="en-US" sz="1200"/>
              </a:p>
            </c:rich>
          </c:tx>
          <c:layout>
            <c:manualLayout>
              <c:xMode val="edge"/>
              <c:yMode val="edge"/>
              <c:x val="7.2413437403294001E-3"/>
              <c:y val="0.40400807807871203"/>
            </c:manualLayout>
          </c:layout>
          <c:overlay val="0"/>
        </c:title>
        <c:numFmt formatCode="0.00000" sourceLinked="1"/>
        <c:majorTickMark val="none"/>
        <c:minorTickMark val="none"/>
        <c:tickLblPos val="nextTo"/>
        <c:crossAx val="1895810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FF774-3A35-43A1-A0D6-4A75457B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 ÇANDIR</dc:creator>
  <cp:keywords/>
  <dc:description/>
  <cp:lastModifiedBy>Ozan Sülükpınar</cp:lastModifiedBy>
  <cp:revision>22</cp:revision>
  <dcterms:created xsi:type="dcterms:W3CDTF">2014-12-07T21:36:00Z</dcterms:created>
  <dcterms:modified xsi:type="dcterms:W3CDTF">2023-12-06T01:27:00Z</dcterms:modified>
</cp:coreProperties>
</file>