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E73" w:rsidRPr="00305696" w:rsidRDefault="00305696" w:rsidP="00305696">
      <w:pPr>
        <w:jc w:val="center"/>
        <w:rPr>
          <w:rFonts w:ascii="Times New Roman" w:hAnsi="Times New Roman" w:cs="Times New Roman"/>
          <w:b/>
          <w:sz w:val="28"/>
          <w:szCs w:val="28"/>
          <w:u w:val="single"/>
        </w:rPr>
      </w:pPr>
      <w:r w:rsidRPr="00305696">
        <w:rPr>
          <w:rFonts w:ascii="Times New Roman" w:hAnsi="Times New Roman" w:cs="Times New Roman"/>
          <w:b/>
          <w:sz w:val="28"/>
          <w:szCs w:val="28"/>
          <w:u w:val="single"/>
        </w:rPr>
        <w:t>METU-Civil Engineering Department</w:t>
      </w:r>
    </w:p>
    <w:p w:rsidR="00305696" w:rsidRPr="00305696" w:rsidRDefault="00305696" w:rsidP="00305696">
      <w:pPr>
        <w:jc w:val="center"/>
        <w:rPr>
          <w:rFonts w:ascii="Times New Roman" w:hAnsi="Times New Roman" w:cs="Times New Roman"/>
          <w:b/>
          <w:sz w:val="28"/>
          <w:szCs w:val="28"/>
          <w:u w:val="single"/>
        </w:rPr>
      </w:pPr>
      <w:r w:rsidRPr="00305696">
        <w:rPr>
          <w:rFonts w:ascii="Times New Roman" w:hAnsi="Times New Roman" w:cs="Times New Roman"/>
          <w:b/>
          <w:sz w:val="28"/>
          <w:szCs w:val="28"/>
          <w:u w:val="single"/>
        </w:rPr>
        <w:t>CE464 GROUND IMPROVEMENT</w:t>
      </w:r>
    </w:p>
    <w:p w:rsidR="00305696" w:rsidRDefault="00305696" w:rsidP="00305696">
      <w:pPr>
        <w:jc w:val="center"/>
        <w:rPr>
          <w:rFonts w:ascii="Times New Roman" w:hAnsi="Times New Roman" w:cs="Times New Roman"/>
          <w:b/>
          <w:sz w:val="28"/>
          <w:szCs w:val="28"/>
        </w:rPr>
      </w:pPr>
      <w:r w:rsidRPr="00305696">
        <w:rPr>
          <w:rFonts w:ascii="Times New Roman" w:hAnsi="Times New Roman" w:cs="Times New Roman"/>
          <w:b/>
          <w:sz w:val="28"/>
          <w:szCs w:val="28"/>
        </w:rPr>
        <w:t>HOMEWORK II</w:t>
      </w:r>
    </w:p>
    <w:p w:rsidR="00305696" w:rsidRDefault="00305696" w:rsidP="00215A38">
      <w:pPr>
        <w:spacing w:line="360" w:lineRule="auto"/>
        <w:rPr>
          <w:rFonts w:ascii="Times New Roman" w:hAnsi="Times New Roman" w:cs="Times New Roman"/>
          <w:sz w:val="24"/>
          <w:szCs w:val="24"/>
        </w:rPr>
      </w:pPr>
      <w:r>
        <w:rPr>
          <w:rFonts w:ascii="Times New Roman" w:hAnsi="Times New Roman" w:cs="Times New Roman"/>
          <w:sz w:val="24"/>
          <w:szCs w:val="24"/>
        </w:rPr>
        <w:t xml:space="preserve">Q1)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will not be any settlement since the surcharge change occurs immediately </w:t>
      </w:r>
    </w:p>
    <w:p w:rsidR="00215A38" w:rsidRDefault="00305696" w:rsidP="00215A38">
      <w:pPr>
        <w:spacing w:line="360" w:lineRule="auto"/>
        <w:rPr>
          <w:rFonts w:ascii="Times New Roman" w:hAnsi="Times New Roman" w:cs="Times New Roman"/>
          <w:sz w:val="24"/>
          <w:szCs w:val="24"/>
        </w:rPr>
      </w:pPr>
      <w:r>
        <w:rPr>
          <w:rFonts w:ascii="Times New Roman" w:hAnsi="Times New Roman" w:cs="Times New Roman"/>
          <w:sz w:val="24"/>
          <w:szCs w:val="24"/>
        </w:rPr>
        <w:t xml:space="preserve">Q2) </w:t>
      </w:r>
    </w:p>
    <w:p w:rsidR="00305696" w:rsidRPr="00215A38" w:rsidRDefault="00305696" w:rsidP="00215A38">
      <w:pPr>
        <w:pStyle w:val="ListeParagraf"/>
        <w:numPr>
          <w:ilvl w:val="0"/>
          <w:numId w:val="1"/>
        </w:numPr>
        <w:spacing w:line="360" w:lineRule="auto"/>
        <w:rPr>
          <w:rFonts w:ascii="Times New Roman" w:hAnsi="Times New Roman" w:cs="Times New Roman"/>
          <w:sz w:val="24"/>
          <w:szCs w:val="24"/>
        </w:rPr>
      </w:pPr>
      <w:r w:rsidRPr="00215A38">
        <w:rPr>
          <w:rFonts w:ascii="Times New Roman" w:hAnsi="Times New Roman" w:cs="Times New Roman"/>
          <w:sz w:val="24"/>
          <w:szCs w:val="24"/>
        </w:rPr>
        <w:t xml:space="preserve">To calculate </w:t>
      </w:r>
      <w:proofErr w:type="spellStart"/>
      <w:r w:rsidRPr="00215A38">
        <w:rPr>
          <w:rFonts w:ascii="Times New Roman" w:hAnsi="Times New Roman" w:cs="Times New Roman"/>
          <w:sz w:val="24"/>
          <w:szCs w:val="24"/>
        </w:rPr>
        <w:t>Δδ</w:t>
      </w:r>
      <w:proofErr w:type="spellEnd"/>
      <w:r w:rsidRPr="00215A38">
        <w:rPr>
          <w:rFonts w:ascii="Times New Roman" w:hAnsi="Times New Roman" w:cs="Times New Roman"/>
          <w:sz w:val="24"/>
          <w:szCs w:val="24"/>
        </w:rPr>
        <w:t xml:space="preserve">; </w:t>
      </w:r>
      <w:proofErr w:type="spellStart"/>
      <w:r w:rsidRPr="00215A38">
        <w:rPr>
          <w:rFonts w:ascii="Times New Roman" w:hAnsi="Times New Roman" w:cs="Times New Roman"/>
          <w:sz w:val="24"/>
          <w:szCs w:val="24"/>
        </w:rPr>
        <w:t>Boussinesq</w:t>
      </w:r>
      <w:proofErr w:type="spellEnd"/>
      <w:r w:rsidRPr="00215A38">
        <w:rPr>
          <w:rFonts w:ascii="Times New Roman" w:hAnsi="Times New Roman" w:cs="Times New Roman"/>
          <w:sz w:val="24"/>
          <w:szCs w:val="24"/>
        </w:rPr>
        <w:t xml:space="preserve"> equation should be used which is:</w:t>
      </w:r>
    </w:p>
    <w:p w:rsidR="00305696" w:rsidRDefault="00305696" w:rsidP="00215A38">
      <w:pPr>
        <w:spacing w:line="360" w:lineRule="auto"/>
        <w:rPr>
          <w:rFonts w:ascii="Times New Roman" w:eastAsiaTheme="minorEastAsia" w:hAnsi="Times New Roman" w:cs="Times New Roman"/>
          <w:sz w:val="28"/>
          <w:szCs w:val="24"/>
        </w:rPr>
      </w:pPr>
      <w:r>
        <w:rPr>
          <w:rFonts w:ascii="Times New Roman" w:hAnsi="Times New Roman" w:cs="Times New Roman"/>
          <w:sz w:val="24"/>
          <w:szCs w:val="24"/>
        </w:rPr>
        <w:tab/>
      </w:r>
      <m:oMath>
        <m:r>
          <w:rPr>
            <w:rFonts w:ascii="Cambria Math" w:hAnsi="Cambria Math" w:cs="Times New Roman"/>
            <w:sz w:val="28"/>
            <w:szCs w:val="24"/>
          </w:rPr>
          <m:t>Δδ=</m:t>
        </m:r>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q</m:t>
                </m:r>
              </m:e>
              <m:sub>
                <m:r>
                  <w:rPr>
                    <w:rFonts w:ascii="Cambria Math" w:hAnsi="Cambria Math" w:cs="Times New Roman"/>
                    <w:sz w:val="28"/>
                    <w:szCs w:val="24"/>
                  </w:rPr>
                  <m:t>0</m:t>
                </m:r>
              </m:sub>
            </m:sSub>
          </m:num>
          <m:den>
            <m:r>
              <w:rPr>
                <w:rFonts w:ascii="Cambria Math" w:hAnsi="Cambria Math" w:cs="Times New Roman"/>
                <w:sz w:val="28"/>
                <w:szCs w:val="24"/>
              </w:rPr>
              <m:t>π</m:t>
            </m:r>
          </m:den>
        </m:f>
        <m:d>
          <m:dPr>
            <m:begChr m:val="["/>
            <m:endChr m:val="]"/>
            <m:ctrlPr>
              <w:rPr>
                <w:rFonts w:ascii="Cambria Math" w:hAnsi="Cambria Math" w:cs="Times New Roman"/>
                <w:i/>
                <w:sz w:val="28"/>
                <w:szCs w:val="24"/>
              </w:rPr>
            </m:ctrlPr>
          </m:dPr>
          <m:e>
            <m:d>
              <m:dPr>
                <m:ctrlPr>
                  <w:rPr>
                    <w:rFonts w:ascii="Cambria Math" w:hAnsi="Cambria Math" w:cs="Times New Roman"/>
                    <w:i/>
                    <w:sz w:val="28"/>
                    <w:szCs w:val="24"/>
                  </w:rPr>
                </m:ctrlPr>
              </m:dPr>
              <m:e>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B</m:t>
                        </m:r>
                      </m:e>
                      <m:sub>
                        <m:r>
                          <w:rPr>
                            <w:rFonts w:ascii="Cambria Math" w:hAnsi="Cambria Math" w:cs="Times New Roman"/>
                            <w:sz w:val="28"/>
                            <w:szCs w:val="24"/>
                          </w:rPr>
                          <m:t>1</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B</m:t>
                        </m:r>
                      </m:e>
                      <m:sub>
                        <m:r>
                          <w:rPr>
                            <w:rFonts w:ascii="Cambria Math" w:hAnsi="Cambria Math" w:cs="Times New Roman"/>
                            <w:sz w:val="28"/>
                            <w:szCs w:val="24"/>
                          </w:rPr>
                          <m:t>2</m:t>
                        </m:r>
                      </m:sub>
                    </m:sSub>
                  </m:num>
                  <m:den>
                    <m:sSub>
                      <m:sSubPr>
                        <m:ctrlPr>
                          <w:rPr>
                            <w:rFonts w:ascii="Cambria Math" w:hAnsi="Cambria Math" w:cs="Times New Roman"/>
                            <w:i/>
                            <w:sz w:val="28"/>
                            <w:szCs w:val="24"/>
                          </w:rPr>
                        </m:ctrlPr>
                      </m:sSubPr>
                      <m:e>
                        <m:r>
                          <w:rPr>
                            <w:rFonts w:ascii="Cambria Math" w:hAnsi="Cambria Math" w:cs="Times New Roman"/>
                            <w:sz w:val="28"/>
                            <w:szCs w:val="24"/>
                          </w:rPr>
                          <m:t>B</m:t>
                        </m:r>
                      </m:e>
                      <m:sub>
                        <m:r>
                          <w:rPr>
                            <w:rFonts w:ascii="Cambria Math" w:hAnsi="Cambria Math" w:cs="Times New Roman"/>
                            <w:sz w:val="28"/>
                            <w:szCs w:val="24"/>
                          </w:rPr>
                          <m:t>2</m:t>
                        </m:r>
                      </m:sub>
                    </m:sSub>
                  </m:den>
                </m:f>
              </m:e>
            </m:d>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α</m:t>
                    </m:r>
                  </m:e>
                  <m:sub>
                    <m:r>
                      <w:rPr>
                        <w:rFonts w:ascii="Cambria Math" w:hAnsi="Cambria Math" w:cs="Times New Roman"/>
                        <w:sz w:val="28"/>
                        <w:szCs w:val="24"/>
                      </w:rPr>
                      <m:t>1</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α</m:t>
                    </m:r>
                  </m:e>
                  <m:sub>
                    <m:r>
                      <w:rPr>
                        <w:rFonts w:ascii="Cambria Math" w:hAnsi="Cambria Math" w:cs="Times New Roman"/>
                        <w:sz w:val="28"/>
                        <w:szCs w:val="24"/>
                      </w:rPr>
                      <m:t>2</m:t>
                    </m:r>
                  </m:sub>
                </m:sSub>
              </m:e>
            </m:d>
            <m:r>
              <w:rPr>
                <w:rFonts w:ascii="Cambria Math" w:hAnsi="Cambria Math" w:cs="Times New Roman"/>
                <w:sz w:val="28"/>
                <w:szCs w:val="24"/>
              </w:rPr>
              <m:t>-</m:t>
            </m:r>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B</m:t>
                    </m:r>
                  </m:e>
                  <m:sub>
                    <m:r>
                      <w:rPr>
                        <w:rFonts w:ascii="Cambria Math" w:hAnsi="Cambria Math" w:cs="Times New Roman"/>
                        <w:sz w:val="28"/>
                        <w:szCs w:val="24"/>
                      </w:rPr>
                      <m:t>1</m:t>
                    </m:r>
                  </m:sub>
                </m:sSub>
              </m:num>
              <m:den>
                <m:sSub>
                  <m:sSubPr>
                    <m:ctrlPr>
                      <w:rPr>
                        <w:rFonts w:ascii="Cambria Math" w:hAnsi="Cambria Math" w:cs="Times New Roman"/>
                        <w:i/>
                        <w:sz w:val="28"/>
                        <w:szCs w:val="24"/>
                      </w:rPr>
                    </m:ctrlPr>
                  </m:sSubPr>
                  <m:e>
                    <m:r>
                      <w:rPr>
                        <w:rFonts w:ascii="Cambria Math" w:hAnsi="Cambria Math" w:cs="Times New Roman"/>
                        <w:sz w:val="28"/>
                        <w:szCs w:val="24"/>
                      </w:rPr>
                      <m:t>B</m:t>
                    </m:r>
                  </m:e>
                  <m:sub>
                    <m:r>
                      <w:rPr>
                        <w:rFonts w:ascii="Cambria Math" w:hAnsi="Cambria Math" w:cs="Times New Roman"/>
                        <w:sz w:val="28"/>
                        <w:szCs w:val="24"/>
                      </w:rPr>
                      <m:t>2</m:t>
                    </m:r>
                  </m:sub>
                </m:sSub>
              </m:den>
            </m:f>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α</m:t>
                    </m:r>
                  </m:e>
                  <m:sub>
                    <m:r>
                      <w:rPr>
                        <w:rFonts w:ascii="Cambria Math" w:hAnsi="Cambria Math" w:cs="Times New Roman"/>
                        <w:sz w:val="28"/>
                        <w:szCs w:val="24"/>
                      </w:rPr>
                      <m:t>2</m:t>
                    </m:r>
                  </m:sub>
                </m:sSub>
              </m:e>
            </m:d>
          </m:e>
        </m:d>
      </m:oMath>
    </w:p>
    <w:p w:rsidR="00305696" w:rsidRDefault="00305696" w:rsidP="00215A3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q</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21 </w:t>
      </w:r>
      <w:proofErr w:type="spellStart"/>
      <w:r>
        <w:rPr>
          <w:rFonts w:ascii="Times New Roman" w:eastAsiaTheme="minorEastAsia" w:hAnsi="Times New Roman" w:cs="Times New Roman"/>
          <w:sz w:val="24"/>
          <w:szCs w:val="24"/>
        </w:rPr>
        <w:t>kN</w:t>
      </w:r>
      <w:proofErr w:type="spellEnd"/>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x 2 m = 42 </w:t>
      </w:r>
      <w:proofErr w:type="spellStart"/>
      <w:r>
        <w:rPr>
          <w:rFonts w:ascii="Times New Roman" w:eastAsiaTheme="minorEastAsia" w:hAnsi="Times New Roman" w:cs="Times New Roman"/>
          <w:sz w:val="24"/>
          <w:szCs w:val="24"/>
        </w:rPr>
        <w:t>kPa</w:t>
      </w:r>
      <w:proofErr w:type="spellEnd"/>
    </w:p>
    <w:p w:rsidR="00305696" w:rsidRDefault="00247750" w:rsidP="00215A38">
      <w:pPr>
        <w:spacing w:line="36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w:r w:rsidRPr="00247750">
        <w:rPr>
          <w:rFonts w:ascii="Times New Roman" w:eastAsiaTheme="minorEastAsia" w:hAnsi="Times New Roman" w:cs="Times New Roman"/>
          <w:sz w:val="24"/>
          <w:szCs w:val="24"/>
        </w:rPr>
        <w:t>α</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w:t>
      </w:r>
      <w:r w:rsidRPr="00247750">
        <w:rPr>
          <w:rFonts w:ascii="Times New Roman" w:eastAsiaTheme="minorEastAsia" w:hAnsi="Times New Roman" w:cs="Times New Roman"/>
          <w:sz w:val="24"/>
          <w:szCs w:val="24"/>
        </w:rPr>
        <w:t>α</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are calculating according to </w:t>
      </w:r>
      <w:proofErr w:type="spellStart"/>
      <w:r>
        <w:rPr>
          <w:rFonts w:ascii="Times New Roman" w:eastAsiaTheme="minorEastAsia" w:hAnsi="Times New Roman" w:cs="Times New Roman"/>
          <w:sz w:val="24"/>
          <w:szCs w:val="24"/>
        </w:rPr>
        <w:t>Boussinesq</w:t>
      </w:r>
      <w:proofErr w:type="spellEnd"/>
      <w:r>
        <w:rPr>
          <w:rFonts w:ascii="Times New Roman" w:eastAsiaTheme="minorEastAsia" w:hAnsi="Times New Roman" w:cs="Times New Roman"/>
          <w:sz w:val="24"/>
          <w:szCs w:val="24"/>
        </w:rPr>
        <w:t xml:space="preserve"> equation, z is taken as the mid depth of clay parts.</w:t>
      </w:r>
    </w:p>
    <w:p w:rsidR="00247750" w:rsidRDefault="00247750" w:rsidP="00215A38">
      <w:pPr>
        <w:spacing w:line="36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SPT results and plasticity indexes are used to calculate m</w:t>
      </w:r>
      <w:r>
        <w:rPr>
          <w:rFonts w:ascii="Times New Roman" w:eastAsiaTheme="minorEastAsia" w:hAnsi="Times New Roman" w:cs="Times New Roman"/>
          <w:sz w:val="24"/>
          <w:szCs w:val="24"/>
          <w:vertAlign w:val="subscript"/>
        </w:rPr>
        <w:t>v</w:t>
      </w:r>
      <w:r>
        <w:rPr>
          <w:rFonts w:ascii="Times New Roman" w:eastAsiaTheme="minorEastAsia" w:hAnsi="Times New Roman" w:cs="Times New Roman"/>
          <w:sz w:val="24"/>
          <w:szCs w:val="24"/>
        </w:rPr>
        <w:t xml:space="preserve">. In SPT results, the last two numbers are summed in each blow and for each layer average of the N’s are taken. </w:t>
      </w:r>
    </w:p>
    <w:p w:rsidR="00247750" w:rsidRDefault="00247750" w:rsidP="00215A38">
      <w:pPr>
        <w:spacing w:line="36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Having m</w:t>
      </w:r>
      <w:r>
        <w:rPr>
          <w:rFonts w:ascii="Times New Roman" w:eastAsiaTheme="minorEastAsia" w:hAnsi="Times New Roman" w:cs="Times New Roman"/>
          <w:sz w:val="24"/>
          <w:szCs w:val="24"/>
          <w:vertAlign w:val="subscript"/>
        </w:rPr>
        <w:t>v</w:t>
      </w:r>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Δδ</w:t>
      </w:r>
      <w:proofErr w:type="spellEnd"/>
      <w:r>
        <w:rPr>
          <w:rFonts w:ascii="Times New Roman" w:eastAsiaTheme="minorEastAsia" w:hAnsi="Times New Roman" w:cs="Times New Roman"/>
          <w:sz w:val="24"/>
          <w:szCs w:val="24"/>
        </w:rPr>
        <w:t xml:space="preserve"> is enough to calculate settlement. But this is the settlement according to </w:t>
      </w:r>
      <w:proofErr w:type="spellStart"/>
      <w:r>
        <w:rPr>
          <w:rFonts w:ascii="Times New Roman" w:eastAsiaTheme="minorEastAsia" w:hAnsi="Times New Roman" w:cs="Times New Roman"/>
          <w:sz w:val="24"/>
          <w:szCs w:val="24"/>
        </w:rPr>
        <w:t>oedometer</w:t>
      </w:r>
      <w:proofErr w:type="spellEnd"/>
      <w:r>
        <w:rPr>
          <w:rFonts w:ascii="Times New Roman" w:eastAsiaTheme="minorEastAsia" w:hAnsi="Times New Roman" w:cs="Times New Roman"/>
          <w:sz w:val="24"/>
          <w:szCs w:val="24"/>
        </w:rPr>
        <w:t xml:space="preserve"> test. To get real value, it has to be multiplied with a correction number. I take 1.1 as µ for all clay layers to get a higher settlement value.</w:t>
      </w:r>
    </w:p>
    <w:p w:rsidR="004F2BA2" w:rsidRPr="004F2BA2" w:rsidRDefault="004F2BA2" w:rsidP="00215A38">
      <w:pPr>
        <w:spacing w:line="360" w:lineRule="auto"/>
        <w:ind w:firstLine="708"/>
        <w:rPr>
          <w:rFonts w:ascii="Times New Roman" w:eastAsiaTheme="minorEastAsia" w:hAnsi="Times New Roman" w:cs="Times New Roman"/>
          <w:b/>
          <w:sz w:val="24"/>
          <w:szCs w:val="24"/>
        </w:rPr>
      </w:pPr>
      <w:r w:rsidRPr="004F2BA2">
        <w:rPr>
          <w:rFonts w:ascii="Times New Roman" w:eastAsiaTheme="minorEastAsia" w:hAnsi="Times New Roman" w:cs="Times New Roman"/>
          <w:b/>
          <w:sz w:val="24"/>
          <w:szCs w:val="24"/>
        </w:rPr>
        <w:t>Total settlement = 6.152 cm</w:t>
      </w:r>
    </w:p>
    <w:p w:rsidR="00247750" w:rsidRDefault="00247750" w:rsidP="00215A38">
      <w:pPr>
        <w:spacing w:line="360" w:lineRule="auto"/>
        <w:ind w:firstLine="708"/>
        <w:rPr>
          <w:rFonts w:ascii="Times New Roman" w:eastAsiaTheme="minorEastAsia" w:hAnsi="Times New Roman" w:cs="Times New Roman"/>
          <w:noProof/>
          <w:sz w:val="24"/>
          <w:szCs w:val="24"/>
          <w:lang w:val="tr-TR" w:eastAsia="tr-TR"/>
        </w:rPr>
      </w:pPr>
      <w:r>
        <w:rPr>
          <w:rFonts w:ascii="Times New Roman" w:eastAsiaTheme="minorEastAsia" w:hAnsi="Times New Roman" w:cs="Times New Roman"/>
          <w:sz w:val="24"/>
          <w:szCs w:val="24"/>
        </w:rPr>
        <w:t xml:space="preserve">The table of </w:t>
      </w:r>
      <w:r w:rsidR="00500DAF">
        <w:rPr>
          <w:rFonts w:ascii="Times New Roman" w:eastAsiaTheme="minorEastAsia" w:hAnsi="Times New Roman" w:cs="Times New Roman"/>
          <w:sz w:val="24"/>
          <w:szCs w:val="24"/>
        </w:rPr>
        <w:t>calculations can be seen below:</w:t>
      </w:r>
    </w:p>
    <w:p w:rsidR="00215A38" w:rsidRDefault="00215A38" w:rsidP="00215A38">
      <w:pPr>
        <w:spacing w:line="360" w:lineRule="auto"/>
        <w:rPr>
          <w:rFonts w:ascii="Times New Roman" w:eastAsiaTheme="minorEastAsia" w:hAnsi="Times New Roman" w:cs="Times New Roman"/>
          <w:sz w:val="24"/>
          <w:szCs w:val="24"/>
        </w:rPr>
      </w:pPr>
      <w:r w:rsidRPr="00215A38">
        <w:drawing>
          <wp:inline distT="0" distB="0" distL="0" distR="0" wp14:anchorId="6D4ACC1C" wp14:editId="69854814">
            <wp:extent cx="6273210" cy="82934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5500" cy="836253"/>
                    </a:xfrm>
                    <a:prstGeom prst="rect">
                      <a:avLst/>
                    </a:prstGeom>
                    <a:noFill/>
                    <a:ln>
                      <a:noFill/>
                    </a:ln>
                  </pic:spPr>
                </pic:pic>
              </a:graphicData>
            </a:graphic>
          </wp:inline>
        </w:drawing>
      </w:r>
    </w:p>
    <w:p w:rsidR="00500DAF" w:rsidRDefault="00500DAF" w:rsidP="00215A38">
      <w:pPr>
        <w:spacing w:line="36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this, with assuming a permeable layer under the bottom most clay layer, time factor for settlements can be easily calculated. The table below shows the settlement of three clay layer in different months. Thus, it can be calculated degree of consolidation for each month. In the table I choose months randomly instead of typing each number as months. This is why the month column goes like 1, 2, 3, 4, 5, 8, 10, 12, and 13. After each layer reaches 95% of settlement I stopped the table.</w:t>
      </w:r>
    </w:p>
    <w:p w:rsidR="00500DAF" w:rsidRDefault="00500DAF" w:rsidP="00500DAF">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Pr="00500DAF">
        <w:drawing>
          <wp:inline distT="0" distB="0" distL="0" distR="0" wp14:anchorId="14360077" wp14:editId="76BC81BC">
            <wp:extent cx="6271760" cy="1573618"/>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9442" cy="1573036"/>
                    </a:xfrm>
                    <a:prstGeom prst="rect">
                      <a:avLst/>
                    </a:prstGeom>
                    <a:noFill/>
                    <a:ln>
                      <a:noFill/>
                    </a:ln>
                  </pic:spPr>
                </pic:pic>
              </a:graphicData>
            </a:graphic>
          </wp:inline>
        </w:drawing>
      </w:r>
    </w:p>
    <w:p w:rsidR="00215A38" w:rsidRDefault="00215A38" w:rsidP="00500DAF">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Also, the settlement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month graph can be plotted as:</w:t>
      </w:r>
    </w:p>
    <w:p w:rsidR="00215A38" w:rsidRDefault="00215A38" w:rsidP="00500DAF">
      <w:pPr>
        <w:ind w:firstLine="708"/>
        <w:rPr>
          <w:rFonts w:ascii="Times New Roman" w:eastAsiaTheme="minorEastAsia" w:hAnsi="Times New Roman" w:cs="Times New Roman"/>
          <w:sz w:val="24"/>
          <w:szCs w:val="24"/>
        </w:rPr>
      </w:pPr>
      <w:r>
        <w:rPr>
          <w:noProof/>
          <w:lang w:val="tr-TR" w:eastAsia="tr-TR"/>
        </w:rPr>
        <w:drawing>
          <wp:inline distT="0" distB="0" distL="0" distR="0" wp14:anchorId="068652D2" wp14:editId="7E61EB59">
            <wp:extent cx="4922874" cy="3019647"/>
            <wp:effectExtent l="0" t="0" r="11430" b="9525"/>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sectPr w:rsidR="00215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56EE7"/>
    <w:multiLevelType w:val="hybridMultilevel"/>
    <w:tmpl w:val="1A3A97E0"/>
    <w:lvl w:ilvl="0" w:tplc="DB828A82">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696"/>
    <w:rsid w:val="00215A38"/>
    <w:rsid w:val="00247750"/>
    <w:rsid w:val="00305696"/>
    <w:rsid w:val="004F2BA2"/>
    <w:rsid w:val="00500DAF"/>
    <w:rsid w:val="005C6836"/>
    <w:rsid w:val="009D084C"/>
    <w:rsid w:val="00DE7A6A"/>
    <w:rsid w:val="00E46E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05696"/>
    <w:rPr>
      <w:color w:val="808080"/>
    </w:rPr>
  </w:style>
  <w:style w:type="paragraph" w:styleId="BalonMetni">
    <w:name w:val="Balloon Text"/>
    <w:basedOn w:val="Normal"/>
    <w:link w:val="BalonMetniChar"/>
    <w:uiPriority w:val="99"/>
    <w:semiHidden/>
    <w:unhideWhenUsed/>
    <w:rsid w:val="0030569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05696"/>
    <w:rPr>
      <w:rFonts w:ascii="Tahoma" w:hAnsi="Tahoma" w:cs="Tahoma"/>
      <w:sz w:val="16"/>
      <w:szCs w:val="16"/>
      <w:lang w:val="en-US"/>
    </w:rPr>
  </w:style>
  <w:style w:type="paragraph" w:styleId="ListeParagraf">
    <w:name w:val="List Paragraph"/>
    <w:basedOn w:val="Normal"/>
    <w:uiPriority w:val="34"/>
    <w:qFormat/>
    <w:rsid w:val="00215A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05696"/>
    <w:rPr>
      <w:color w:val="808080"/>
    </w:rPr>
  </w:style>
  <w:style w:type="paragraph" w:styleId="BalonMetni">
    <w:name w:val="Balloon Text"/>
    <w:basedOn w:val="Normal"/>
    <w:link w:val="BalonMetniChar"/>
    <w:uiPriority w:val="99"/>
    <w:semiHidden/>
    <w:unhideWhenUsed/>
    <w:rsid w:val="0030569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05696"/>
    <w:rPr>
      <w:rFonts w:ascii="Tahoma" w:hAnsi="Tahoma" w:cs="Tahoma"/>
      <w:sz w:val="16"/>
      <w:szCs w:val="16"/>
      <w:lang w:val="en-US"/>
    </w:rPr>
  </w:style>
  <w:style w:type="paragraph" w:styleId="ListeParagraf">
    <w:name w:val="List Paragraph"/>
    <w:basedOn w:val="Normal"/>
    <w:uiPriority w:val="34"/>
    <w:qFormat/>
    <w:rsid w:val="0021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amsung\Desktop\ce%20464%20hw%202.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manualLayout>
          <c:xMode val="edge"/>
          <c:yMode val="edge"/>
          <c:x val="0.37967366579177608"/>
          <c:y val="2.7777777777777776E-2"/>
        </c:manualLayout>
      </c:layout>
      <c:overlay val="0"/>
    </c:title>
    <c:autoTitleDeleted val="0"/>
    <c:plotArea>
      <c:layout/>
      <c:scatterChart>
        <c:scatterStyle val="smoothMarker"/>
        <c:varyColors val="0"/>
        <c:ser>
          <c:idx val="0"/>
          <c:order val="0"/>
          <c:tx>
            <c:v>Settlement</c:v>
          </c:tx>
          <c:marker>
            <c:symbol val="none"/>
          </c:marker>
          <c:xVal>
            <c:numRef>
              <c:f>Sayfa1!$B$15:$B$23</c:f>
              <c:numCache>
                <c:formatCode>General</c:formatCode>
                <c:ptCount val="9"/>
                <c:pt idx="0">
                  <c:v>1</c:v>
                </c:pt>
                <c:pt idx="1">
                  <c:v>2</c:v>
                </c:pt>
                <c:pt idx="2">
                  <c:v>3</c:v>
                </c:pt>
                <c:pt idx="3">
                  <c:v>4</c:v>
                </c:pt>
                <c:pt idx="4">
                  <c:v>5</c:v>
                </c:pt>
                <c:pt idx="5">
                  <c:v>8</c:v>
                </c:pt>
                <c:pt idx="6">
                  <c:v>10</c:v>
                </c:pt>
                <c:pt idx="7">
                  <c:v>12</c:v>
                </c:pt>
                <c:pt idx="8">
                  <c:v>13</c:v>
                </c:pt>
              </c:numCache>
            </c:numRef>
          </c:xVal>
          <c:yVal>
            <c:numRef>
              <c:f>Sayfa1!$L$15:$L$23</c:f>
              <c:numCache>
                <c:formatCode>0.000</c:formatCode>
                <c:ptCount val="9"/>
                <c:pt idx="0">
                  <c:v>2.458579585689296</c:v>
                </c:pt>
                <c:pt idx="1">
                  <c:v>3.4343782240269358</c:v>
                </c:pt>
                <c:pt idx="2">
                  <c:v>4.1039098316462352</c:v>
                </c:pt>
                <c:pt idx="3">
                  <c:v>4.5848354689942941</c:v>
                </c:pt>
                <c:pt idx="4">
                  <c:v>4.9233723229398585</c:v>
                </c:pt>
                <c:pt idx="5">
                  <c:v>5.5502007438027325</c:v>
                </c:pt>
                <c:pt idx="6">
                  <c:v>5.753617071983145</c:v>
                </c:pt>
                <c:pt idx="7">
                  <c:v>5.8242512138845024</c:v>
                </c:pt>
                <c:pt idx="8">
                  <c:v>5.8424999999999994</c:v>
                </c:pt>
              </c:numCache>
            </c:numRef>
          </c:yVal>
          <c:smooth val="1"/>
        </c:ser>
        <c:dLbls>
          <c:showLegendKey val="0"/>
          <c:showVal val="0"/>
          <c:showCatName val="0"/>
          <c:showSerName val="0"/>
          <c:showPercent val="0"/>
          <c:showBubbleSize val="0"/>
        </c:dLbls>
        <c:axId val="40227200"/>
        <c:axId val="40229120"/>
      </c:scatterChart>
      <c:valAx>
        <c:axId val="40227200"/>
        <c:scaling>
          <c:orientation val="minMax"/>
        </c:scaling>
        <c:delete val="0"/>
        <c:axPos val="b"/>
        <c:title>
          <c:tx>
            <c:rich>
              <a:bodyPr/>
              <a:lstStyle/>
              <a:p>
                <a:pPr>
                  <a:defRPr/>
                </a:pPr>
                <a:r>
                  <a:rPr lang="tr-TR"/>
                  <a:t>Time</a:t>
                </a:r>
                <a:r>
                  <a:rPr lang="tr-TR" baseline="0"/>
                  <a:t> (month)</a:t>
                </a:r>
              </a:p>
            </c:rich>
          </c:tx>
          <c:overlay val="0"/>
        </c:title>
        <c:numFmt formatCode="General" sourceLinked="1"/>
        <c:majorTickMark val="none"/>
        <c:minorTickMark val="none"/>
        <c:tickLblPos val="nextTo"/>
        <c:crossAx val="40229120"/>
        <c:crosses val="autoZero"/>
        <c:crossBetween val="midCat"/>
      </c:valAx>
      <c:valAx>
        <c:axId val="40229120"/>
        <c:scaling>
          <c:orientation val="minMax"/>
        </c:scaling>
        <c:delete val="0"/>
        <c:axPos val="l"/>
        <c:majorGridlines/>
        <c:title>
          <c:tx>
            <c:rich>
              <a:bodyPr/>
              <a:lstStyle/>
              <a:p>
                <a:pPr>
                  <a:defRPr/>
                </a:pPr>
                <a:r>
                  <a:rPr lang="tr-TR"/>
                  <a:t>Settlement (cm)</a:t>
                </a:r>
              </a:p>
            </c:rich>
          </c:tx>
          <c:overlay val="0"/>
        </c:title>
        <c:numFmt formatCode="0.000" sourceLinked="1"/>
        <c:majorTickMark val="none"/>
        <c:minorTickMark val="none"/>
        <c:tickLblPos val="nextTo"/>
        <c:crossAx val="40227200"/>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85</TotalTime>
  <Pages>2</Pages>
  <Words>222</Words>
  <Characters>1271</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2016-10-18T17:51:00Z</dcterms:created>
  <dcterms:modified xsi:type="dcterms:W3CDTF">2016-10-18T19:17:00Z</dcterms:modified>
</cp:coreProperties>
</file>