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CONTRATO DE COMPRAVENTA DE VEHÍCULO AUTOMOTOR CON RESERVA DE DOMINIO Y PACTO DE PAGO POR CUOTAS DIARIAS</w:t>
      </w:r>
    </w:p>
    <w:p>
      <w:pPr>
        <w:spacing w:after="150"/>
        <w:jc w:val="both"/>
      </w:pPr>
      <w:r>
        <w:t xml:space="preserve">No. de contrato: {numero_contrato}    Fecha de generación: {fecha_generacion}</w:t>
      </w:r>
    </w:p>
    <w:p>
      <w:pPr>
        <w:spacing w:after="150"/>
        <w:jc w:val="both"/>
      </w:pPr>
      <w:r>
        <w:t xml:space="preserve">Entre los suscritos, a saber: ALLATYOU RENTING S.A.S., sociedad identificada con NIT No. 901.995.593, domiciliada en la ciudad de Cali, quien en adelante se denominará EL VENDEDOR, por una parte; y por la otra, {comprador_nombre}, mayor de edad, identificado(a) con cédula de ciudadanía No. {comprador_cedula}, domiciliado(a) en la ciudad de {comprador_ciudad}, quien en adelante se denominará EL COMPRADOR, hemos convenido celebrar el presente CONTRATO DE COMPRAVENTA CON RESERVA DE DOMINIO sobre un vehículo automotor, el cual se regirá por las normas del Código de Comercio, el Código Civil, el Código Nacional de Tránsito (Ley 769 de 2002 y sus modificaciones) y demás normas concordantes de la legislación colombiana, así como por las siguientes cláusulas:</w:t>
      </w:r>
    </w:p>
    <w:p>
      <w:pPr>
        <w:pStyle w:val="Heading2"/>
        <w:spacing w:after="150" w:before="300"/>
      </w:pPr>
      <w:r>
        <w:t xml:space="preserve">PRIMERA. OBJETO</w:t>
      </w:r>
    </w:p>
    <w:p>
      <w:pPr>
        <w:spacing w:after="150"/>
        <w:jc w:val="both"/>
      </w:pPr>
      <w:r>
        <w:t xml:space="preserve">EL VENDEDOR transfiere a título de venta a EL COMPRADOR, bajo la modalidad de RESERVA DE DOMINIO, el vehículo automotor de las siguientes características: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175"/>
        <w:gridCol w:w="3175"/>
      </w:tblGrid>
      <w:tr>
        <w:tc>
          <w:tcPr>
            <w:shd w:fill="E8E8E8" w:val="clear"/>
          </w:tcPr>
          <w:p>
            <w:r>
              <w:rPr>
                <w:b/>
                <w:bCs/>
              </w:rPr>
              <w:t xml:space="preserve">Placa</w:t>
            </w:r>
          </w:p>
        </w:tc>
        <w:tc>
          <w:p>
            <w:r>
              <w:t xml:space="preserve">{vehiculo_placa}</w:t>
            </w:r>
          </w:p>
        </w:tc>
        <w:tc>
          <w:p>
            <w:r>
              <w:t xml:space="preserve"/>
            </w:r>
          </w:p>
        </w:tc>
      </w:tr>
      <w:tr>
        <w:tc>
          <w:tcPr>
            <w:shd w:fill="E8E8E8" w:val="clear"/>
          </w:tcPr>
          <w:p>
            <w:r>
              <w:rPr>
                <w:b/>
                <w:bCs/>
              </w:rPr>
              <w:t xml:space="preserve">Marca / Línea</w:t>
            </w:r>
          </w:p>
        </w:tc>
        <w:tc>
          <w:p>
            <w:r>
              <w:t xml:space="preserve">{vehiculo_marca} / {vehiculo_linea}</w:t>
            </w:r>
          </w:p>
        </w:tc>
        <w:tc>
          <w:p>
            <w:r>
              <w:rPr>
                <w:b/>
                <w:bCs/>
              </w:rPr>
              <w:t xml:space="preserve">Modelo</w:t>
            </w:r>
          </w:p>
        </w:tc>
      </w:tr>
      <w:tr>
        <w:tc>
          <w:tcPr>
            <w:shd w:fill="E8E8E8" w:val="clear"/>
          </w:tcPr>
          <w:p>
            <w:r>
              <w:rPr>
                <w:b/>
                <w:bCs/>
              </w:rPr>
              <w:t xml:space="preserve">Cilindraje / Combustible</w:t>
            </w:r>
          </w:p>
        </w:tc>
        <w:tc>
          <w:p>
            <w:r>
              <w:t xml:space="preserve">{vehiculo_cilindraje} / {vehiculo_combustible}</w:t>
            </w:r>
          </w:p>
        </w:tc>
        <w:tc>
          <w:p>
            <w:r>
              <w:t xml:space="preserve">{vehiculo_modelo}</w:t>
            </w:r>
          </w:p>
        </w:tc>
      </w:tr>
      <w:tr>
        <w:tc>
          <w:tcPr>
            <w:shd w:fill="E8E8E8" w:val="clear"/>
          </w:tcPr>
          <w:p>
            <w:r>
              <w:rPr>
                <w:b/>
                <w:bCs/>
              </w:rPr>
              <w:t xml:space="preserve">Color / Carrocería</w:t>
            </w:r>
          </w:p>
        </w:tc>
        <w:tc>
          <w:p>
            <w:r>
              <w:t xml:space="preserve">{vehiculo_color} / {vehiculo_carroceria}</w:t>
            </w:r>
          </w:p>
        </w:tc>
        <w:tc>
          <w:p>
            <w:r>
              <w:t xml:space="preserve"/>
            </w:r>
          </w:p>
        </w:tc>
      </w:tr>
    </w:tbl>
    <w:p>
      <w:pPr>
        <w:spacing w:after="100"/>
      </w:pPr>
    </w:p>
    <w:p>
      <w:pPr>
        <w:spacing w:after="150"/>
        <w:jc w:val="both"/>
      </w:pPr>
      <w:r>
        <w:t xml:space="preserve">EL VENDEDOR declara que es propietario del vehículo, que se encuentra libre de embargos, gravámenes distintos a los aquí pactados, prendas o limitaciones al dominio, y que el SOAT se encuentra vigente al momento de la entrega.</w:t>
      </w:r>
    </w:p>
    <w:p>
      <w:pPr>
        <w:pStyle w:val="Heading2"/>
        <w:spacing w:after="150" w:before="300"/>
      </w:pPr>
      <w:r>
        <w:t xml:space="preserve">SEGUNDA. PRECIO Y FORMA DE PAGO</w:t>
      </w:r>
    </w:p>
    <w:p>
      <w:pPr>
        <w:spacing w:after="150"/>
        <w:jc w:val="both"/>
      </w:pPr>
      <w:r>
        <w:t xml:space="preserve">El precio total de venta del vehículo se fija en la suma de ${precio_total} ({precio_total_letras} PESOS M/CTE), el cual EL COMPRADOR pagará a EL VENDEDOR mediante CUOTAS DIARIAS, así:</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c>
          <w:tcPr>
            <w:shd w:fill="E8E8E8" w:val="clear"/>
          </w:tcPr>
          <w:p>
            <w:r>
              <w:rPr>
                <w:b/>
                <w:bCs/>
              </w:rPr>
              <w:t xml:space="preserve">Concepto</w:t>
            </w:r>
          </w:p>
        </w:tc>
        <w:tc>
          <w:tcPr>
            <w:shd w:fill="E8E8E8" w:val="clear"/>
          </w:tcPr>
          <w:p>
            <w:r>
              <w:rPr>
                <w:b/>
                <w:bCs/>
              </w:rPr>
              <w:t xml:space="preserve">Valor diario</w:t>
            </w:r>
          </w:p>
        </w:tc>
      </w:tr>
      <w:tr>
        <w:tc>
          <w:p>
            <w:r>
              <w:t xml:space="preserve">Abono a capital e intereses (amortización)</w:t>
            </w:r>
          </w:p>
        </w:tc>
        <w:tc>
          <w:p>
            <w:r>
              <w:t xml:space="preserve">${cuota_capital_interes}</w:t>
            </w:r>
          </w:p>
        </w:tc>
      </w:tr>
      <w:tr>
        <w:tc>
          <w:p>
            <w:r>
              <w:t xml:space="preserve">Ahorro / depósito de garantía</w:t>
            </w:r>
          </w:p>
        </w:tc>
        <w:tc>
          <w:p>
            <w:r>
              <w:t xml:space="preserve">${cuota_ahorro}</w:t>
            </w:r>
          </w:p>
        </w:tc>
      </w:tr>
      <w:tr>
        <w:tc>
          <w:p>
            <w:r>
              <w:t xml:space="preserve">Cuota de administración del vehículo</w:t>
            </w:r>
          </w:p>
        </w:tc>
        <w:tc>
          <w:p>
            <w:r>
              <w:t xml:space="preserve">${cuota_administracion}</w:t>
            </w:r>
          </w:p>
        </w:tc>
      </w:tr>
      <w:tr>
        <w:tc>
          <w:p>
            <w:r>
              <w:rPr>
                <w:b/>
                <w:bCs/>
              </w:rPr>
              <w:t xml:space="preserve">CUOTA DIARIA TOTAL A PAGAR</w:t>
            </w:r>
          </w:p>
        </w:tc>
        <w:tc>
          <w:p>
            <w:r>
              <w:rPr>
                <w:b/>
                <w:bCs/>
              </w:rPr>
              <w:t xml:space="preserve">${cuota_diaria_total}</w:t>
            </w:r>
          </w:p>
        </w:tc>
      </w:tr>
    </w:tbl>
    <w:p>
      <w:pPr>
        <w:spacing w:after="100"/>
      </w:pPr>
    </w:p>
    <w:p>
      <w:pPr>
        <w:spacing w:after="150"/>
        <w:jc w:val="both"/>
      </w:pPr>
      <w:r>
        <w:t xml:space="preserve">PARÁGRAFO PRIMERO — AJUSTE DE LA CUOTA DE ADMINISTRACIÓN: Las partes reconocen que la cuota de administración cubre los servicios de monitoreo GPS, gestión de comparendos, coordinación de revisiones periódicas, soporte operativo y demás gastos administrativos asociados a la supervisión del vehículo mientras subsista la reserva de dominio. En caso de que dicho valor deba ajustarse, EL VENDEDOR lo notificará por escrito a EL COMPRADOR con al menos quince (15) días calendario de antelación.</w:t>
      </w:r>
    </w:p>
    <w:p>
      <w:pPr>
        <w:spacing w:after="150"/>
        <w:jc w:val="both"/>
      </w:pPr>
      <w:r>
        <w:t xml:space="preserve">PARÁGRAFO SEGUNDO — EXCEPCIÓN DE PICO Y PLACA: No habrá lugar al cobro de la cuota diaria durante el día de restricción de pico y placa que le corresponda al vehículo, salvo que EL COMPRADOR lo utilice efectivamente ese día.</w:t>
      </w:r>
    </w:p>
    <w:p>
      <w:pPr>
        <w:spacing w:after="150"/>
        <w:jc w:val="both"/>
      </w:pPr>
      <w:r>
        <w:t xml:space="preserve">PARÁGRAFO TERCERO — MEDIO DE PAGO: Los pagos se realizarán mediante {medio_pago}, dejando constancia o recibo de cada pago.</w:t>
      </w:r>
    </w:p>
    <w:p>
      <w:pPr>
        <w:pStyle w:val="Heading2"/>
        <w:spacing w:after="150" w:before="300"/>
      </w:pPr>
      <w:r>
        <w:t xml:space="preserve">TERCERA. SISTEMA DE AMORTIZACIÓN</w:t>
      </w:r>
    </w:p>
    <w:p>
      <w:pPr>
        <w:spacing w:after="150"/>
        <w:jc w:val="both"/>
      </w:pPr>
      <w:r>
        <w:t xml:space="preserve">El componente de capital e intereses de la cuota diaria se amortizará bajo el SISTEMA DE AMORTIZACIÓN FRANCÉS (cuota fija), en virtud del cual cada pago se imputará, en primer lugar, a los intereses causados sobre el saldo insoluto de capital, y el remanente se abonará a capital, de conformidad con el Artículo 1653 del Código Civil.</w:t>
      </w:r>
    </w:p>
    <w:p>
      <w:pPr>
        <w:spacing w:after="150"/>
        <w:jc w:val="both"/>
      </w:pPr>
      <w:r>
        <w:t xml:space="preserve">EL VENDEDOR entregará a EL COMPRADOR, junto con este contrato, la siguiente tabla de amortización que discrimina, para cada cuota, el valor abonado a capital, el valor abonado a intereses y el saldo insoluto resultante: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50"/>
      </w:tblGrid>
      <w:tr>
        <w:tc>
          <w:tcPr>
            <w:shd w:fill="E8E8E8" w:val="clear"/>
          </w:tcPr>
          <w:p>
            <w:r>
              <w:rPr>
                <w:b/>
                <w:bCs/>
              </w:rPr>
              <w:t xml:space="preserve">Día</w:t>
            </w:r>
          </w:p>
        </w:tc>
        <w:tc>
          <w:tcPr>
            <w:shd w:fill="E8E8E8" w:val="clear"/>
          </w:tcPr>
          <w:p>
            <w:r>
              <w:rPr>
                <w:b/>
                <w:bCs/>
              </w:rPr>
              <w:t xml:space="preserve">Abono a interés</w:t>
            </w:r>
          </w:p>
        </w:tc>
        <w:tc>
          <w:tcPr>
            <w:shd w:fill="E8E8E8" w:val="clear"/>
          </w:tcPr>
          <w:p>
            <w:r>
              <w:rPr>
                <w:b/>
                <w:bCs/>
              </w:rPr>
              <w:t xml:space="preserve">Abono a capital</w:t>
            </w:r>
          </w:p>
        </w:tc>
        <w:tc>
          <w:tcPr>
            <w:shd w:fill="E8E8E8" w:val="clear"/>
          </w:tcPr>
          <w:p>
            <w:r>
              <w:rPr>
                <w:b/>
                <w:bCs/>
              </w:rPr>
              <w:t xml:space="preserve">Saldo insoluto</w:t>
            </w:r>
          </w:p>
        </w:tc>
      </w:tr>
      <w:tr>
        <w:tc>
          <w:p>
            <w:r>
              <w:t xml:space="preserve">{#amortizacion}{dia}</w:t>
            </w:r>
          </w:p>
        </w:tc>
        <w:tc>
          <w:p>
            <w:r>
              <w:t xml:space="preserve">${interes}</w:t>
            </w:r>
          </w:p>
        </w:tc>
        <w:tc>
          <w:p>
            <w:r>
              <w:t xml:space="preserve">${capital}</w:t>
            </w:r>
          </w:p>
        </w:tc>
        <w:tc>
          <w:p>
            <w:r>
              <w:t xml:space="preserve">${saldo}{/amortizacion}</w:t>
            </w:r>
          </w:p>
        </w:tc>
      </w:tr>
    </w:tbl>
    <w:p>
      <w:pPr>
        <w:spacing w:after="100"/>
      </w:pPr>
    </w:p>
    <w:p>
      <w:pPr>
        <w:spacing w:after="150"/>
        <w:jc w:val="both"/>
      </w:pPr>
      <w:r>
        <w:rPr>
          <w:b/>
          <w:bCs/>
        </w:rPr>
        <w:t xml:space="preserve">Nota sobre la tasa de interés: la tasa de interés remuneratorio y la de mora no podrán exceder, en ningún caso, de una y media (1.5) veces el interés bancario corriente certificado por la Superintendencia Financiera de Colombia vigente al momento de causación (Art. 884 C.Co., Art. 305 C.P.). Tasa de interés remuneratorio pactada: {tasa_remuneratoria}% (mensual). Tasa de interés de mora pactada: {tasa_mora}% (mensual). Interés bancario corriente certificado vigente en la fecha de firma: {ibc_vigente}%.</w:t>
      </w:r>
    </w:p>
    <w:p>
      <w:pPr>
        <w:pStyle w:val="Heading2"/>
        <w:spacing w:after="150" w:before="300"/>
      </w:pPr>
      <w:r>
        <w:t xml:space="preserve">CUARTA. RESERVA DE DOMINIO</w:t>
      </w:r>
    </w:p>
    <w:p>
      <w:pPr>
        <w:spacing w:after="150"/>
        <w:jc w:val="both"/>
      </w:pPr>
      <w:r>
        <w:t xml:space="preserve">De conformidad con los artículos 952 y siguientes del Código de Comercio, EL VENDEDOR se reserva el dominio (propiedad) del vehículo objeto de este contrato hasta tanto EL COMPRADOR cancele la totalidad del precio pactado en la cláusula segunda. En consecuencia:</w:t>
      </w:r>
    </w:p>
    <w:p>
      <w:pPr>
        <w:spacing w:after="150"/>
        <w:jc w:val="both"/>
      </w:pPr>
      <w:r>
        <w:t xml:space="preserve">1. La tenencia material del vehículo se transfiere a EL COMPRADOR desde la firma de este contrato, pero el dominio permanece en cabeza de EL VENDEDOR hasta el pago total.</w:t>
      </w:r>
    </w:p>
    <w:p>
      <w:pPr>
        <w:spacing w:after="150"/>
        <w:jc w:val="both"/>
      </w:pPr>
      <w:r>
        <w:t xml:space="preserve">2. La reserva de dominio se inscribirá ante el organismo de tránsito competente donde se encuentre matriculado el vehículo, conforme al procedimiento del RUNT, para que sea oponible a terceros.</w:t>
      </w:r>
    </w:p>
    <w:p>
      <w:pPr>
        <w:spacing w:after="150"/>
        <w:jc w:val="both"/>
      </w:pPr>
      <w:r>
        <w:t xml:space="preserve">3. Mientras esté vigente la reserva de dominio, EL COMPRADOR no podrá vender, gravar, dar en prenda, subarrendar, ceder el uso a terceros no autorizados, ni disponer en forma alguna del vehículo.</w:t>
      </w:r>
    </w:p>
    <w:p>
      <w:pPr>
        <w:spacing w:after="150"/>
        <w:jc w:val="both"/>
      </w:pPr>
      <w:r>
        <w:t xml:space="preserve">4. La tarjeta de propiedad, el traspaso y cualquier documento que perfeccione la transferencia definitiva del dominio SOLO serán entregados a EL COMPRADOR una vez este haya cancelado la totalidad del precio pactado.</w:t>
      </w:r>
    </w:p>
    <w:p>
      <w:pPr>
        <w:pStyle w:val="Heading2"/>
        <w:spacing w:after="150" w:before="300"/>
      </w:pPr>
      <w:r>
        <w:t xml:space="preserve">QUINTA. ADMINISTRACIÓN DEL VEHÍCULO DURANTE LA VIGENCIA DE LA RESERVA DE DOMINIO</w:t>
      </w:r>
    </w:p>
    <w:p>
      <w:pPr>
        <w:spacing w:after="150"/>
        <w:jc w:val="both"/>
      </w:pPr>
      <w:r>
        <w:t xml:space="preserve">Mientras el vehículo se encuentre pignorado, EL COMPRADOR se obliga a mantenerlo bajo la administración operativa de ALLATYOU RENTING S.A.S., lo que comprende: (1) asistir a las revisiones periódicas y mantenimientos preventivos programados; (2) mantener encendido, sin manipulación, bloqueo o desconexión, el sistema de GPS instalado en el vehículo; (3) permitir las inspecciones que EL VENDEDOR razonablemente solicite; (4) informar de inmediato accidentes, comparendos, inmovilizaciones o cualquier situación que afecte el vehículo. Esta administración cesará automáticamente una vez EL COMPRADOR cancele la totalidad del precio.</w:t>
      </w:r>
    </w:p>
    <w:p>
      <w:pPr>
        <w:pStyle w:val="Heading2"/>
        <w:spacing w:after="150" w:before="300"/>
      </w:pPr>
      <w:r>
        <w:t xml:space="preserve">SEXTA. NO ENTREGA DEL VEHÍCULO HASTA EL PAGO TOTAL</w:t>
      </w:r>
    </w:p>
    <w:p>
      <w:pPr>
        <w:spacing w:after="150"/>
        <w:jc w:val="both"/>
      </w:pPr>
      <w:r>
        <w:t xml:space="preserve">EL VENDEDOR no está obligado a liberar la reserva de dominio, ni a entregar la tarjeta de propiedad, el traspaso, ni documento alguno que perfeccione la propiedad plena a favor de EL COMPRADOR, hasta que este último haya pagado la totalidad del valor pactado en la cláusula segunda, incluyendo capital, intereses, cuotas de administración y cualquier otra suma pendiente derivada de este contrato o del pagaré anexo.</w:t>
      </w:r>
    </w:p>
    <w:p>
      <w:pPr>
        <w:pStyle w:val="Heading2"/>
        <w:spacing w:after="150" w:before="300"/>
      </w:pPr>
      <w:r>
        <w:t xml:space="preserve">SÉPTIMA. INCUMPLIMIENTO</w:t>
      </w:r>
    </w:p>
    <w:p>
      <w:pPr>
        <w:spacing w:after="150"/>
        <w:jc w:val="both"/>
      </w:pPr>
      <w:r>
        <w:t xml:space="preserve">Constituyen causales de incumplimiento del presente contrato, cada una de ellas suficiente por sí sola para dar lugar a las consecuencias aquí previstas:</w:t>
      </w:r>
    </w:p>
    <w:p>
      <w:pPr>
        <w:spacing w:after="150"/>
        <w:jc w:val="both"/>
      </w:pPr>
      <w:r>
        <w:t xml:space="preserve">1. El no pago de dos (2) o más cuotas diarias, consecutivas o no.</w:t>
      </w:r>
    </w:p>
    <w:p>
      <w:pPr>
        <w:spacing w:after="150"/>
        <w:jc w:val="both"/>
      </w:pPr>
      <w:r>
        <w:t xml:space="preserve">2. La inasistencia injustificada de EL COMPRADOR a las revisiones, mantenimientos preventivos o correctivos programados por EL VENDEDOR en el taller exclusivo señalado en la cláusula novena. Esta inasistencia constituye causal directa e inmediata de terminación del contrato, sin necesidad de requerimiento judicial o extrajudicial previo.</w:t>
      </w:r>
    </w:p>
    <w:p>
      <w:pPr>
        <w:spacing w:after="150"/>
        <w:jc w:val="both"/>
      </w:pPr>
      <w:r>
        <w:t xml:space="preserve">Ante la ocurrencia de cualquiera de las causales anteriores, EL VENDEDOR podrá, a su elección: (i) exigir el pago inmediato de la totalidad del saldo insoluto haciendo uso del pagaré anexo, o (ii) declarar resuelto el contrato y solicitar la restitución inmediata del vehículo, reteniendo las sumas ya pagadas a título de depósito de garantía y administración, y exigiendo la indemnización de los perjuicios causados.</w:t>
      </w:r>
    </w:p>
    <w:p>
      <w:pPr>
        <w:spacing w:after="150"/>
        <w:jc w:val="both"/>
      </w:pPr>
      <w:r>
        <w:t xml:space="preserve">PARÁGRAFO: El abandono del vehículo en vía pública, parqueaderos o cualquier lugar sin entrega formal a EL VENDEDOR se considerará incumplimiento grave y dará lugar a las mismas consecuencias, más los costos de recuperación y transporte a cargo de EL COMPRADOR.</w:t>
      </w:r>
    </w:p>
    <w:p>
      <w:pPr>
        <w:pStyle w:val="Heading2"/>
        <w:spacing w:after="150" w:before="300"/>
      </w:pPr>
      <w:r>
        <w:t xml:space="preserve">OCTAVA. PROHIBICIONES DE USO</w:t>
      </w:r>
    </w:p>
    <w:p>
      <w:pPr>
        <w:spacing w:after="150"/>
        <w:jc w:val="both"/>
      </w:pPr>
      <w:r>
        <w:t xml:space="preserve">EL COMPRADOR se obliga a destinar el vehículo únicamente para fines lícitos, quedando estrictamente prohibido: 1. El transporte, porte o almacenamiento de armas de cualquier tipo. 2. El transporte, distribución, consumo o almacenamiento de sustancias alucinógenas, psicoactivas o estupefacientes, salvo medicamentos legalmente prescritos. 3. Utilizar el vehículo para cometer, facilitar o servir de apoyo a actos delictivos. 4. Prestar servicio de transporte no autorizado cuando el vehículo esté matriculado como particular. El incumplimiento constituye causal de terminación inmediata, pérdida del depósito de garantía y exigibilidad inmediata del saldo total adeudado, sin perjuicio de las responsabilidades penales y civiles, que recaerán exclusivamente sobre EL COMPRADOR.</w:t>
      </w:r>
    </w:p>
    <w:p>
      <w:pPr>
        <w:pStyle w:val="Heading2"/>
        <w:spacing w:after="150" w:before="300"/>
      </w:pPr>
      <w:r>
        <w:t xml:space="preserve">NOVENA. MANTENIMIENTO OBLIGATORIO EN TALLER EXCLUSIVO Y ASUNCIÓN TOTAL DE COSTOS</w:t>
      </w:r>
    </w:p>
    <w:p>
      <w:pPr>
        <w:spacing w:after="150"/>
        <w:jc w:val="both"/>
      </w:pPr>
      <w:r>
        <w:t xml:space="preserve">Todo mantenimiento preventivo y correctivo, revisión técnica, reparación o intervención mecánica, eléctrica o de carrocería del vehículo deberá realizarse, de manera obligatoria y exclusiva, en el taller designado por EL VENDEDOR: {taller_autorizado}. Queda expresamente prohibido a EL COMPRADOR realizar, ordenar o permitir que se realicen mantenimientos, reparaciones o compra de repuestos en talleres, establecimientos o por personas distintas a las autorizadas.</w:t>
      </w:r>
    </w:p>
    <w:p>
      <w:pPr>
        <w:spacing w:after="150"/>
        <w:jc w:val="both"/>
      </w:pPr>
      <w:r>
        <w:t xml:space="preserve">Todos los gastos derivados de mantenimiento preventivo, mantenimiento correctivo, reparaciones, repuestos, mano de obra, desgaste y deterioro del vehículo corren, sin excepción alguna, por cuenta y cargo exclusivo de EL COMPRADOR desde la firma de este contrato y durante toda su vigencia, independientemente de la causa, origen o naturaleza del daño, desgaste o necesidad de reparación.</w:t>
      </w:r>
    </w:p>
    <w:p>
      <w:pPr>
        <w:spacing w:after="150"/>
        <w:jc w:val="both"/>
      </w:pPr>
      <w:r>
        <w:t xml:space="preserve">EL COMPRADOR deberá asistir, en las fechas y con la periodicidad que EL VENDEDOR determine, a las revisiones y mantenimientos programados en el taller exclusivo, conforme a lo previsto en la cláusula séptima de este contrato.</w:t>
      </w:r>
    </w:p>
    <w:p>
      <w:pPr>
        <w:pStyle w:val="Heading2"/>
        <w:spacing w:after="150" w:before="300"/>
      </w:pPr>
      <w:r>
        <w:t xml:space="preserve">DÉCIMA. OBLIGACIONES DE EL COMPRADOR MIENTRAS DURE LA RESERVA DE DOMINIO</w:t>
      </w:r>
    </w:p>
    <w:p>
      <w:pPr>
        <w:spacing w:after="150"/>
        <w:jc w:val="both"/>
      </w:pPr>
      <w:r>
        <w:t xml:space="preserve">Mientras esté vigente la reserva de dominio, EL COMPRADOR será responsable de: (i) los daños causados al vehículo o a terceros; (ii) todas las infracciones de tránsito cometidas con el vehículo; (iii) mantener vigente el SOAT; (iv) mantener el vehículo en buen estado de funcionamiento y presentación; y (v) asumir los gastos de inmovilización (grúa, patios, trámites) cuando la causa sea imputable a EL COMPRADOR.</w:t>
      </w:r>
    </w:p>
    <w:p>
      <w:pPr>
        <w:pStyle w:val="Heading2"/>
        <w:spacing w:after="150" w:before="300"/>
      </w:pPr>
      <w:r>
        <w:t xml:space="preserve">DÉCIMA PRIMERA. AUTORIZACIÓN DE INMOVILIZACIÓN REMOTA Y TRATAMIENTO DE DATOS DE GEOLOCALIZACIÓN</w:t>
      </w:r>
    </w:p>
    <w:p>
      <w:pPr>
        <w:spacing w:after="150"/>
        <w:jc w:val="both"/>
      </w:pPr>
      <w:r>
        <w:t xml:space="preserve">EL COMPRADOR acepta y autoriza de manera expresa, previa, informada e irrevocable que ALLATYOU RENTING S.A.S. active el sistema de bloqueo de arranque del vehículo, instalado mediante el dispositivo de GPS/telemetría, en cualquiera de los siguientes eventos: (i) salida del vehículo de la geocerca autorizada ({geocerca_descripcion}) sin consentimiento previo de EL VENDEDOR; (ii) registro de infracciones por exceso de velocidad conforme a los parámetros configurados ({limite_velocidad_kmh} km/h); y (iii) incumplimiento en el pago de las cuotas diarias pactadas en este contrato.</w:t>
      </w:r>
    </w:p>
    <w:p>
      <w:pPr>
        <w:spacing w:after="150"/>
        <w:jc w:val="both"/>
      </w:pPr>
      <w:r>
        <w:t xml:space="preserve">Por razones de seguridad vial y para no poner en riesgo la vida e integridad de EL COMPRADOR, sus acompañantes y terceros, las partes acuerdan expresamente que la activación de este mecanismo NUNCA se ejecutará con el vehículo en movimiento. El dispositivo únicamente impedirá el reencendido del motor una vez el vehículo se encuentre completamente detenido y con el motor apagado (función de bloqueo de arranque o "starter interrupt"). En ningún caso EL VENDEDOR activará mecanismos que corten la alimentación del motor, la dirección o los frenos mientras el vehículo esté circulando.</w:t>
      </w:r>
    </w:p>
    <w:p>
      <w:pPr>
        <w:spacing w:after="150"/>
        <w:jc w:val="both"/>
      </w:pPr>
      <w:r>
        <w:t xml:space="preserve">EL VENDEDOR se obliga a notificar a EL COMPRADOR, por el medio de comunicación registrado en este contrato, la activación de cualquiera de estos mecanismos, indicando la causa y las condiciones para su desactivación.</w:t>
      </w:r>
    </w:p>
    <w:p>
      <w:pPr>
        <w:spacing w:after="150"/>
        <w:jc w:val="both"/>
      </w:pPr>
      <w:r>
        <w:t xml:space="preserve">De conformidad con la Ley 1581 de 2012, EL COMPRADOR autoriza expresamente a EL VENDEDOR para recolectar, almacenar y tratar sus datos de geolocalización y velocidad, con la única finalidad de administrar y dar cumplimiento a este contrato. EL VENDEDOR se obliga a dar a estos datos el tratamiento confidencial que exige la ley.</w:t>
      </w:r>
    </w:p>
    <w:p>
      <w:pPr>
        <w:pStyle w:val="Heading2"/>
        <w:spacing w:after="150" w:before="300"/>
      </w:pPr>
      <w:r>
        <w:t xml:space="preserve">DÉCIMA SEGUNDA. GARANTÍA / DEPÓSITO</w:t>
      </w:r>
    </w:p>
    <w:p>
      <w:pPr>
        <w:spacing w:after="150"/>
        <w:jc w:val="both"/>
      </w:pPr>
      <w:r>
        <w:t xml:space="preserve">EL COMPRADOR entrega a EL VENDEDOR la suma de ${valor_garantia} en calidad de depósito de garantía, la cual se aplicará al cumplimiento de las obligaciones aquí pactadas y será restituida, o abonada al saldo de capital según se acuerde, una vez cancelada la totalidad del precio, siempre que no existan comparendos, daños, deudas o reclamaciones pendientes. EL VENDEDOR podrá retener esta suma hasta por sesenta (60) días calendario después del pago total.</w:t>
      </w:r>
    </w:p>
    <w:p>
      <w:pPr>
        <w:pStyle w:val="Heading2"/>
        <w:spacing w:after="150" w:before="300"/>
      </w:pPr>
      <w:r>
        <w:t xml:space="preserve">DÉCIMA TERCERA. CLÁUSULA PENAL</w:t>
      </w:r>
    </w:p>
    <w:p>
      <w:pPr>
        <w:spacing w:after="150"/>
        <w:jc w:val="both"/>
      </w:pPr>
      <w:r>
        <w:t xml:space="preserve">En caso de incumplimiento de EL COMPRADOR, este pagará a título de cláusula penal una suma equivalente a ${valor_clausula_penal}, sin perjuicio del derecho de EL VENDEDOR de exigir adicionalmente la indemnización de los perjuicios que excedan dicho valor.</w:t>
      </w:r>
    </w:p>
    <w:p>
      <w:pPr>
        <w:pStyle w:val="Heading2"/>
        <w:spacing w:after="150" w:before="300"/>
      </w:pPr>
      <w:r>
        <w:t xml:space="preserve">DÉCIMA CUARTA. PAGARÉ Y CARTA DE INSTRUCCIONES</w:t>
      </w:r>
    </w:p>
    <w:p>
      <w:pPr>
        <w:spacing w:after="150"/>
        <w:jc w:val="both"/>
      </w:pPr>
      <w:r>
        <w:t xml:space="preserve">Para respaldar el cumplimiento de las obligaciones aquí contenidas, EL COMPRADOR suscribe, en la misma fecha, el pagaré No. {numero_pagare} a la orden de ALLATYOU RENTING S.A.S. junto con su respectiva carta de instrucciones, en los términos del Artículo 622 del Código de Comercio. La tasa de interés moratorio que se liquide al diligenciar el pagaré no podrá exceder de una y media (1.5) veces el interés bancario corriente certificado por la Superintendencia Financiera de Colombia vigente al momento del diligenciamiento.</w:t>
      </w:r>
    </w:p>
    <w:p>
      <w:pPr>
        <w:pStyle w:val="Heading2"/>
        <w:spacing w:after="150" w:before="300"/>
      </w:pPr>
      <w:r>
        <w:t xml:space="preserve">DÉCIMA QUINTA. NOTIFICACIONES</w:t>
      </w:r>
    </w:p>
    <w:p>
      <w:pPr>
        <w:spacing w:after="150"/>
        <w:jc w:val="both"/>
      </w:pPr>
      <w:r>
        <w:t xml:space="preserve">Todo aviso o comunicación entre las partes se entenderá válidamente efectuado si se realiza por escrito, entregado personalmente, o enviado por correo electrónico a las siguientes direcciones: EL VENDEDOR: {vendedor_email}. EL COMPRADOR: {comprador_email} / {comprador_telefono}.</w:t>
      </w:r>
    </w:p>
    <w:p>
      <w:pPr>
        <w:pStyle w:val="Heading2"/>
        <w:spacing w:after="150" w:before="300"/>
      </w:pPr>
      <w:r>
        <w:t xml:space="preserve">DÉCIMA SEXTA. CLÁUSULA COMPROMISORIA</w:t>
      </w:r>
    </w:p>
    <w:p>
      <w:pPr>
        <w:spacing w:after="150"/>
        <w:jc w:val="both"/>
      </w:pPr>
      <w:r>
        <w:t xml:space="preserve">Toda controversia relativa a este contrato se someterá primero a una audiencia de conciliación ante autoridad competente; de fracasar esta, las diferencias se dirimirán ante un Tribunal de Arbitramento del domicilio de EL COMPRADOR, cuyos gastos serán asumidos por la parte convocante.</w:t>
      </w:r>
    </w:p>
    <w:p>
      <w:pPr>
        <w:pStyle w:val="Heading2"/>
        <w:spacing w:after="150" w:before="300"/>
      </w:pPr>
      <w:r>
        <w:t xml:space="preserve">DÉCIMA SÉPTIMA. DECLARACIÓN SOBRE LAVADO DE ACTIVOS Y FINANCIACIÓN DEL TERRORISMO</w:t>
      </w:r>
    </w:p>
    <w:p>
      <w:pPr>
        <w:spacing w:after="150"/>
        <w:jc w:val="both"/>
      </w:pPr>
      <w:r>
        <w:t xml:space="preserve">Las partes declaran no tener relación alguna con actividades ilícitas relacionadas con narcotráfico, lavado de activos o financiación del terrorismo. Cualquiera de las partes podrá dar por terminada la relación comercial, sin lugar a indemnización, si la otra parte llegare a ser incluida en listas restrictivas nacionales o internacionales, o condenada por delitos de dicha naturaleza.</w:t>
      </w:r>
    </w:p>
    <w:p>
      <w:pPr>
        <w:pStyle w:val="Heading2"/>
        <w:spacing w:after="150" w:before="300"/>
      </w:pPr>
      <w:r>
        <w:t xml:space="preserve">DÉCIMA OCTAVA. CUMPLIMIENTO DE LA LEY Y ANTICORRUPCIÓN</w:t>
      </w:r>
    </w:p>
    <w:p>
      <w:pPr>
        <w:spacing w:after="150"/>
        <w:jc w:val="both"/>
      </w:pPr>
      <w:r>
        <w:t xml:space="preserve">Las partes se obligan a no ejecutar, en desarrollo de este contrato, ninguna acción que viole la legislación colombiana vigente, incluyendo normas anticorrupción y antisoborno.</w:t>
      </w:r>
    </w:p>
    <w:p>
      <w:pPr>
        <w:pStyle w:val="Heading2"/>
        <w:spacing w:after="150" w:before="300"/>
      </w:pPr>
      <w:r>
        <w:t xml:space="preserve">DÉCIMA NOVENA. LEY APLICABLE</w:t>
      </w:r>
    </w:p>
    <w:p>
      <w:pPr>
        <w:spacing w:after="150"/>
        <w:jc w:val="both"/>
      </w:pPr>
      <w:r>
        <w:t xml:space="preserve">El presente contrato se rige por las leyes de la República de Colombia, en especial el Código Civil, el Código de Comercio y el Código Nacional de Tránsito Terrestre.</w:t>
      </w:r>
    </w:p>
    <w:p>
      <w:pPr>
        <w:spacing w:after="100"/>
      </w:pPr>
    </w:p>
    <w:p>
      <w:pPr>
        <w:spacing w:after="150"/>
        <w:jc w:val="both"/>
      </w:pPr>
      <w:r>
        <w:t xml:space="preserve">Para constancia se firma en Santiago de Cali, a los {dia_firma} días del mes de {mes_firma} de {anio_firma}.</w:t>
      </w:r>
    </w:p>
    <w:p>
      <w:pPr>
        <w:spacing w:after="100"/>
      </w:pPr>
    </w:p>
    <w:p>
      <w:pPr>
        <w:spacing w:after="100"/>
      </w:pPr>
    </w:p>
    <w:p>
      <w:pPr>
        <w:spacing w:after="150"/>
        <w:jc w:val="both"/>
      </w:pPr>
      <w:r>
        <w:t xml:space="preserve">________________________________</w:t>
      </w:r>
    </w:p>
    <w:p>
      <w:pPr>
        <w:spacing w:after="150"/>
        <w:jc w:val="both"/>
      </w:pPr>
      <w:r>
        <w:rPr>
          <w:b/>
          <w:bCs/>
        </w:rPr>
        <w:t xml:space="preserve">EL VENDEDOR</w:t>
      </w:r>
    </w:p>
    <w:p>
      <w:pPr>
        <w:spacing w:after="150"/>
        <w:jc w:val="both"/>
      </w:pPr>
      <w:r>
        <w:t xml:space="preserve">ALLATYOU RENTING S.A.S. — NIT. 901.995.593</w:t>
      </w:r>
    </w:p>
    <w:p>
      <w:pPr>
        <w:spacing w:after="100"/>
      </w:pPr>
    </w:p>
    <w:p>
      <w:pPr>
        <w:spacing w:after="100"/>
      </w:pPr>
    </w:p>
    <w:p>
      <w:pPr>
        <w:spacing w:after="150"/>
        <w:jc w:val="both"/>
      </w:pPr>
      <w:r>
        <w:t xml:space="preserve">________________________________</w:t>
      </w:r>
    </w:p>
    <w:p>
      <w:pPr>
        <w:spacing w:after="150"/>
        <w:jc w:val="both"/>
      </w:pPr>
      <w:r>
        <w:rPr>
          <w:b/>
          <w:bCs/>
        </w:rPr>
        <w:t xml:space="preserve">EL COMPRADOR</w:t>
      </w:r>
    </w:p>
    <w:p>
      <w:pPr>
        <w:spacing w:after="150"/>
        <w:jc w:val="both"/>
      </w:pPr>
      <w:r>
        <w:t xml:space="preserve">Nombre: {comprador_nombre}</w:t>
      </w:r>
    </w:p>
    <w:p>
      <w:pPr>
        <w:spacing w:after="150"/>
        <w:jc w:val="both"/>
      </w:pPr>
      <w:r>
        <w:t xml:space="preserve">C.C. No. {comprador_cedula}</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2026-07-21T00:12:21.987Z</dcterms:created>
  <dcterms:modified xsi:type="dcterms:W3CDTF">2026-07-21T00:12:22.009Z</dcterms:modified>
</cp:coreProperties>
</file>

<file path=docProps/custom.xml><?xml version="1.0" encoding="utf-8"?>
<Properties xmlns="http://schemas.openxmlformats.org/officeDocument/2006/custom-properties" xmlns:vt="http://schemas.openxmlformats.org/officeDocument/2006/docPropsVTypes"/>
</file>