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Şirketimiz çalışanlarına yılda 14 gün yıllık izin verir.</w:t>
        <w:br/>
        <w:t>İzin talepleri yöneticinin onayına sunulur.</w:t>
        <w:br/>
        <w:t>Çalışanlar izin başvurularını şirketin insan kaynakları sistemi üzerinden yapabilir.</w:t>
      </w:r>
    </w:p>
    <w:p>
      <w:r>
        <w:t>Uzaktan çalışanlar VPN kullanmalıdır.</w:t>
        <w:br/>
        <w:t>Şirket bilgisayarları düzenli olarak güncellenir.</w:t>
        <w:br/>
        <w:t>Çalışanların şirket sistemlerine bağlanırken güvenli bağlantı kullanması zorunludur.</w:t>
      </w:r>
    </w:p>
    <w:p>
      <w:r>
        <w:t>Çalışanlara her ayın sonunda maaş ödemesi yapılır.</w:t>
        <w:br/>
        <w:t>Maaş bilgileri çalışanlara özel tutulur.</w:t>
        <w:br/>
        <w:t>Maaş bordroları çalışanların kişisel hesapları üzerinden görüntülenebilir.</w:t>
      </w:r>
    </w:p>
    <w:p>
      <w:r>
        <w:t>Şirket çalışanlarının güvenlik eğitimlerine katılması zorunludur.</w:t>
        <w:br/>
        <w:t>Yeni çalışanlara ilk hafta içerisinde şirket politikaları anlatılır.</w:t>
        <w:br/>
        <w:t>Çalışanlar şirket kaynaklarını yalnızca iş amaçlı kullanmalıdır.</w:t>
      </w:r>
    </w:p>
    <w:p>
      <w:r>
        <w:t>Yıllık performans değerlendirmeleri her yılın sonunda gerçekleştirilir.</w:t>
        <w:br/>
        <w:t>Yöneticiler çalışanlarla performans görüşmeleri yapar.</w:t>
        <w:br/>
        <w:t>Performans sonuçları çalışanların gelişim planlarında kullanılır.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