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entury Gothic" w:cs="Century Gothic" w:eastAsia="Century Gothic" w:hAnsi="Century Gothic"/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52"/>
          <w:szCs w:val="52"/>
          <w:vertAlign w:val="baseline"/>
          <w:rtl w:val="0"/>
        </w:rPr>
        <w:t xml:space="preserve">Universidad Politécnica de Tlaxcala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(century gothic, 26, negritas)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vertAlign w:val="baseline"/>
          <w:rtl w:val="0"/>
        </w:rPr>
        <w:t xml:space="preserve">Ingeniería  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(century gothic,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48"/>
          <w:szCs w:val="48"/>
          <w:vertAlign w:val="baseline"/>
          <w:rtl w:val="0"/>
        </w:rPr>
        <w:t xml:space="preserve">Titulo del proyecto 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(century gothic, 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35.0" w:type="dxa"/>
        <w:jc w:val="center"/>
        <w:tblLayout w:type="fixed"/>
        <w:tblLook w:val="0000"/>
      </w:tblPr>
      <w:tblGrid>
        <w:gridCol w:w="6035"/>
        <w:tblGridChange w:id="0">
          <w:tblGrid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Participantes: (century gothic, 10, negritas)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entury Gothic" w:cs="Century Gothic" w:eastAsia="Century Gothic" w:hAnsi="Century Gothic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8"/>
                <w:szCs w:val="28"/>
                <w:vertAlign w:val="baseline"/>
                <w:rtl w:val="0"/>
              </w:rPr>
              <w:t xml:space="preserve">Nombre estudiante 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  <w:rtl w:val="0"/>
              </w:rPr>
              <w:t xml:space="preserve">(century gothic, 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Century Gothic" w:cs="Century Gothic" w:eastAsia="Century Gothic" w:hAnsi="Century Gothic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ff"/>
                <w:sz w:val="18"/>
                <w:szCs w:val="18"/>
                <w:vertAlign w:val="baseline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Century Gothic" w:cs="Century Gothic" w:eastAsia="Century Gothic" w:hAnsi="Century Gothic"/>
                <w:color w:val="0000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Century Gothic" w:cs="Century Gothic" w:eastAsia="Century Gothic" w:hAnsi="Century Gothic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8"/>
                <w:szCs w:val="28"/>
                <w:vertAlign w:val="baseline"/>
                <w:rtl w:val="0"/>
              </w:rPr>
              <w:t xml:space="preserve">Asesor externo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Lucida Sans" w:cs="Lucida Sans" w:eastAsia="Lucida Sans" w:hAnsi="Lucida Sans"/>
                <w:color w:val="0000ff"/>
                <w:sz w:val="18"/>
                <w:szCs w:val="18"/>
                <w:u w:val="singl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ff"/>
                <w:sz w:val="18"/>
                <w:szCs w:val="18"/>
                <w:u w:val="single"/>
                <w:vertAlign w:val="baseline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Century Gothic" w:cs="Century Gothic" w:eastAsia="Century Gothic" w:hAnsi="Century Gothic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8"/>
                <w:szCs w:val="28"/>
                <w:vertAlign w:val="baseline"/>
                <w:rtl w:val="0"/>
              </w:rPr>
              <w:t xml:space="preserve">Asesor interno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Century Gothic" w:cs="Century Gothic" w:eastAsia="Century Gothic" w:hAnsi="Century Gothic"/>
                <w:color w:val="0000ff"/>
                <w:sz w:val="18"/>
                <w:szCs w:val="18"/>
                <w:vertAlign w:val="baseline"/>
              </w:rPr>
            </w:pPr>
            <w:hyperlink r:id="rId6">
              <w:r w:rsidDel="00000000" w:rsidR="00000000" w:rsidRPr="00000000">
                <w:rPr>
                  <w:rFonts w:ascii="Century Gothic" w:cs="Century Gothic" w:eastAsia="Century Gothic" w:hAnsi="Century Gothic"/>
                  <w:color w:val="0000ff"/>
                  <w:sz w:val="18"/>
                  <w:szCs w:val="18"/>
                  <w:u w:val="single"/>
                  <w:vertAlign w:val="baseline"/>
                  <w:rtl w:val="0"/>
                </w:rPr>
                <w:t xml:space="preserve">correo</w:t>
              </w:r>
            </w:hyperlink>
            <w:r w:rsidDel="00000000" w:rsidR="00000000" w:rsidRPr="00000000">
              <w:rPr>
                <w:rFonts w:ascii="Century Gothic" w:cs="Century Gothic" w:eastAsia="Century Gothic" w:hAnsi="Century Gothic"/>
                <w:color w:val="0000ff"/>
                <w:sz w:val="18"/>
                <w:szCs w:val="18"/>
                <w:vertAlign w:val="baseline"/>
                <w:rtl w:val="0"/>
              </w:rPr>
              <w:t xml:space="preserve"> electrónico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Century Gothic" w:cs="Century Gothic" w:eastAsia="Century Gothic" w:hAnsi="Century Gothic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Century Gothic" w:cs="Century Gothic" w:eastAsia="Century Gothic" w:hAnsi="Century Gothic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entury Gothic" w:cs="Century Gothic" w:eastAsia="Century Gothic" w:hAnsi="Century Gothic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entury Gothic" w:cs="Century Gothic" w:eastAsia="Century Gothic" w:hAnsi="Century Gothic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Century Gothic" w:cs="Century Gothic" w:eastAsia="Century Gothic" w:hAnsi="Century Gothic"/>
          <w:sz w:val="36"/>
          <w:szCs w:val="36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36"/>
          <w:szCs w:val="36"/>
          <w:vertAlign w:val="baseline"/>
          <w:rtl w:val="0"/>
        </w:rPr>
        <w:t xml:space="preserve">Fecha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(century gothic,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Resumen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proyecto consiste en el diseño e implementación de un sistema web de inventario con especial énfasis en el control de caducidades, desarrollado como trabajo práctico y educativo. Se partió de una base de datos inicial elaborada en Excel (con fórmulas y control por celdas) que fue convertida a formato JSON y utilizada como fuente única de datos. La aplicación, construida con HTML, CSS y JavaScript puro, carga dinámicamente los productos, genera una tabla de inventario y una tabla específica de caducidades, y persiste cambios en LocalStorage. El sistema fue desplegado en Vercel y simula la operación de la empresa 3E con roles lógicos (administrador, auditor y cajero). Los resultados muestran un control claro de stock y caducidades, facilitan la identificación de productos próximos a expirar y demuestran que soluciones locales y sencillas pueden ser escaladas a SQL/Supabase y autenticación en el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Planteamiento del problema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 la práctica comercial y educativa, el control de caducidades es una debilidad crítica en inventarios manejados manualmente o con hojas de cálculo estáticas. La falta de un sistema accesible y dinámico provoca errores en registros, pérdidas por productos vencidos y mala toma de decisiones. En contextos de pequeña empresa (simulada aquí como 3E) esto impacta la rotación, pérdidas económicas y prácticas ambientales por desperdicio. Si no se interviene, la situación se agrava conforme crece el surtido o la complejidad del almacén. Se propone una solución web local, sencilla y preparada para escalar, que permita visualizar, alertar y gestionar caducidades sin depender inicialmente de un backend complejo.</w:t>
      </w: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proyecto aporta aprendizaje práctico y una solución técnica que reduce pérdidas por caducidad y mejora la organización. Técnicamente, enseña manejo de estructuras de datos (JSON), persistencia en LocalStorage y renderizado dinámico con JavaScript puro. Ambientalmente, disminuye desperdicios al permitir identificar y priorizar productos próximos a expirar. Además, la solución es económicamente accesible para micro y pequeñas empresas, y está diseñada para migrar a SQL/Supabase y autenticación cuando se requiera.</w:t>
      </w:r>
    </w:p>
    <w:p w:rsidR="00000000" w:rsidDel="00000000" w:rsidP="00000000" w:rsidRDefault="00000000" w:rsidRPr="00000000" w14:paraId="0000002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Desarrollar un sistema web de inventario con control de caducidades, usando HTML, CSS y JavaScript, persistente en LocalStorage y estructurado para futura migración a bases de datos y autenticación, con el fin de mejorar el control de stock y reducir pérdidas por vencimiento.</w:t>
      </w:r>
    </w:p>
    <w:p w:rsidR="00000000" w:rsidDel="00000000" w:rsidP="00000000" w:rsidRDefault="00000000" w:rsidRPr="00000000" w14:paraId="0000003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Modelar la base de datos inicial en Excel y generar un archivo JSON como fuente de datos.</w:t>
      </w:r>
    </w:p>
    <w:p w:rsidR="00000000" w:rsidDel="00000000" w:rsidP="00000000" w:rsidRDefault="00000000" w:rsidRPr="00000000" w14:paraId="0000003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Implementar una tabla HTML dinámica que muestre el inventario completo.</w:t>
      </w:r>
    </w:p>
    <w:p w:rsidR="00000000" w:rsidDel="00000000" w:rsidP="00000000" w:rsidRDefault="00000000" w:rsidRPr="00000000" w14:paraId="0000003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Crear una vista y tabla específica para el control de caducidades con filtros y alertas visuales.</w:t>
      </w:r>
    </w:p>
    <w:p w:rsidR="00000000" w:rsidDel="00000000" w:rsidP="00000000" w:rsidRDefault="00000000" w:rsidRPr="00000000" w14:paraId="0000003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Persistir altas, bajas y modificaciones en LocalStorage.</w:t>
      </w:r>
    </w:p>
    <w:p w:rsidR="00000000" w:rsidDel="00000000" w:rsidP="00000000" w:rsidRDefault="00000000" w:rsidRPr="00000000" w14:paraId="0000003E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Estructurar la aplicación para permitir migración a SQL/Supabase y añadir autenticación en etapas posteriores.</w:t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Simular roles lógicos (administrador, auditor, cajero) para controlar funcionalidades del POS.</w:t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entury Gothic" w:cs="Century Gothic" w:eastAsia="Century Gothic" w:hAnsi="Century Gothic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Análisis del contexto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(empresa 3E - simulación)</w:t>
      </w:r>
    </w:p>
    <w:p w:rsidR="00000000" w:rsidDel="00000000" w:rsidP="00000000" w:rsidRDefault="00000000" w:rsidRPr="00000000" w14:paraId="0000004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solución se desarrolló como práctica aplicada a la simulación de la empresa 3E, pequeña unidad comercial con manejo de productos perecederos. La estructura del proyecto contempla separación de módulos: inventario general, control de caducidades y POS (cajero). Se modelaron tres roles lógicos que permiten diferenciar vistas y permisos a nivel de interfaz, sin integrar aún un sistema de autenticación real. El despliegue en Vercel demuestra viabilidad de publicación y acceso público para revisión.</w:t>
      </w:r>
    </w:p>
    <w:p w:rsidR="00000000" w:rsidDel="00000000" w:rsidP="00000000" w:rsidRDefault="00000000" w:rsidRPr="00000000" w14:paraId="0000004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entury Gothic" w:cs="Century Gothic" w:eastAsia="Century Gothic" w:hAnsi="Century Gothic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Modelado inicial (Excel): se creó la plantilla de inventario con columnas clave (ID, nombre, categoría, lote, fecha de caducidad, cantidad, precio). Se implementaron fórmulas para conteos, vencimientos relativos y control por celdas.</w:t>
      </w:r>
    </w:p>
    <w:p w:rsidR="00000000" w:rsidDel="00000000" w:rsidP="00000000" w:rsidRDefault="00000000" w:rsidRPr="00000000" w14:paraId="0000004F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Conversión a JSON: la tabla de Excel se limpió y exportó a JSON para servir como “base de datos” local.</w:t>
      </w:r>
    </w:p>
    <w:p w:rsidR="00000000" w:rsidDel="00000000" w:rsidP="00000000" w:rsidRDefault="00000000" w:rsidRPr="00000000" w14:paraId="00000052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Estructura HTML/CSS: se diseñó la interfaz con un contenedor #app (hash routing básico: #app y rutas internas) y tablas &lt;table&gt; para inventario y caducidades; estilos claros para alertas de proximidad a vencimiento.</w:t>
      </w:r>
    </w:p>
    <w:p w:rsidR="00000000" w:rsidDel="00000000" w:rsidP="00000000" w:rsidRDefault="00000000" w:rsidRPr="00000000" w14:paraId="0000005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Lógica JavaScript: lectura del JSON, render dinámico de filas (&lt;tr&gt;/&lt;td&gt;), funciones CRUD a nivel cliente, generación de tabla de caducidades (ordenada por fecha), y gestión de roles lógicos.</w:t>
      </w:r>
    </w:p>
    <w:p w:rsidR="00000000" w:rsidDel="00000000" w:rsidP="00000000" w:rsidRDefault="00000000" w:rsidRPr="00000000" w14:paraId="00000058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Persistencia: uso de localStorage para guardar cambios y simular comportamiento de base de datos.</w:t>
      </w:r>
    </w:p>
    <w:p w:rsidR="00000000" w:rsidDel="00000000" w:rsidP="00000000" w:rsidRDefault="00000000" w:rsidRPr="00000000" w14:paraId="0000005B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Despliegue: publicación en Vercel para acceso y revisión.</w:t>
      </w:r>
    </w:p>
    <w:p w:rsidR="00000000" w:rsidDel="00000000" w:rsidP="00000000" w:rsidRDefault="00000000" w:rsidRPr="00000000" w14:paraId="0000005E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Pruebas: verificación de consistencia de datos, comprobación de alertas de vencimiento, pruebas de flujo POS (ventas simuladas) y restauración desde JSON.</w:t>
      </w:r>
    </w:p>
    <w:p w:rsidR="00000000" w:rsidDel="00000000" w:rsidP="00000000" w:rsidRDefault="00000000" w:rsidRPr="00000000" w14:paraId="00000061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108" w:tblpY="120"/>
        <w:tblW w:w="9339.0" w:type="dxa"/>
        <w:jc w:val="left"/>
        <w:tblInd w:w="-108.0" w:type="dxa"/>
        <w:tblLayout w:type="fixed"/>
        <w:tblLook w:val="00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Resultados y conclusiones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Se obtuvo una aplicación funcional que permite visualizar el inventario y las caducidades en tiempo real desde el navegador.</w:t>
      </w:r>
    </w:p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conversión desde Excel a JSON demostró ser una vía práctica para transición desde hojas de cálculo a aplicaciones web.</w:t>
      </w:r>
    </w:p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LocalStorage ofreció persistencia suficiente para el prototipo y facilitó pruebas sin backend.</w:t>
      </w:r>
    </w:p>
    <w:p w:rsidR="00000000" w:rsidDel="00000000" w:rsidP="00000000" w:rsidRDefault="00000000" w:rsidRPr="00000000" w14:paraId="0000006B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tabla de caducidades permite identificar lotes próximos a expirar, lo que reduce riesgo de pérdidas y facilita toma de decisiones.</w:t>
      </w:r>
    </w:p>
    <w:p w:rsidR="00000000" w:rsidDel="00000000" w:rsidP="00000000" w:rsidRDefault="00000000" w:rsidRPr="00000000" w14:paraId="0000006D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estructura y documentación facilitan la migración a SQL/Supabase y la incorporación de autenticación en etapas posteriores.</w:t>
      </w:r>
    </w:p>
    <w:p w:rsidR="00000000" w:rsidDel="00000000" w:rsidP="00000000" w:rsidRDefault="00000000" w:rsidRPr="00000000" w14:paraId="0000006F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Conclusión: el proyecto demuestra que, con herramientas básicas y lógica clara, se puede construir un sistema de inventario con control de caducidades eficiente y escalable.</w:t>
      </w:r>
    </w:p>
    <w:p w:rsidR="00000000" w:rsidDel="00000000" w:rsidP="00000000" w:rsidRDefault="00000000" w:rsidRPr="00000000" w14:paraId="00000070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Distribución del tiempo (Justificación: 3 meses = 500 horas)</w:t>
      </w:r>
    </w:p>
    <w:p w:rsidR="00000000" w:rsidDel="00000000" w:rsidP="00000000" w:rsidRDefault="00000000" w:rsidRPr="00000000" w14:paraId="00000074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Total: 500 horas (aprox. 3 meses de trabajo intensivo).</w:t>
      </w:r>
    </w:p>
    <w:p w:rsidR="00000000" w:rsidDel="00000000" w:rsidP="00000000" w:rsidRDefault="00000000" w:rsidRPr="00000000" w14:paraId="00000076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Planificación y especificación: 40 h</w:t>
      </w:r>
    </w:p>
    <w:p w:rsidR="00000000" w:rsidDel="00000000" w:rsidP="00000000" w:rsidRDefault="00000000" w:rsidRPr="00000000" w14:paraId="00000078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Modelado en Excel y fórmulas (control por celdas): 80 h</w:t>
      </w:r>
    </w:p>
    <w:p w:rsidR="00000000" w:rsidDel="00000000" w:rsidP="00000000" w:rsidRDefault="00000000" w:rsidRPr="00000000" w14:paraId="0000007A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Limpieza de datos y conversión a JSON: 60 h</w:t>
      </w:r>
    </w:p>
    <w:p w:rsidR="00000000" w:rsidDel="00000000" w:rsidP="00000000" w:rsidRDefault="00000000" w:rsidRPr="00000000" w14:paraId="0000007C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Maquetado HTML/CSS y diseño de tablas: 80 h</w:t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Desarrollo JS (render, CRUD, hash routing, tabla de caducidades): 100 h</w:t>
      </w:r>
    </w:p>
    <w:p w:rsidR="00000000" w:rsidDel="00000000" w:rsidP="00000000" w:rsidRDefault="00000000" w:rsidRPr="00000000" w14:paraId="00000080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Persistencia y lógica LocalStorage: 40 h</w:t>
      </w:r>
    </w:p>
    <w:p w:rsidR="00000000" w:rsidDel="00000000" w:rsidP="00000000" w:rsidRDefault="00000000" w:rsidRPr="00000000" w14:paraId="00000082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Pruebas, correcciones y polish UI: 30 h</w:t>
      </w:r>
    </w:p>
    <w:p w:rsidR="00000000" w:rsidDel="00000000" w:rsidP="00000000" w:rsidRDefault="00000000" w:rsidRPr="00000000" w14:paraId="00000084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Despliegue en Vercel y ajustes finales: 30 h</w:t>
      </w:r>
    </w:p>
    <w:p w:rsidR="00000000" w:rsidDel="00000000" w:rsidP="00000000" w:rsidRDefault="00000000" w:rsidRPr="00000000" w14:paraId="00000086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Documentación, escritura del informe y entrega: 40 h</w:t>
      </w:r>
    </w:p>
    <w:p w:rsidR="00000000" w:rsidDel="00000000" w:rsidP="00000000" w:rsidRDefault="00000000" w:rsidRPr="00000000" w14:paraId="00000088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Este desglose justifica las 500 horas por la amplitud del trabajo: diseño, modelado de datos (Excel+fórmulas), codificación desde cero en JavaScript, pruebas y documentación.</w:t>
      </w:r>
    </w:p>
    <w:p w:rsidR="00000000" w:rsidDel="00000000" w:rsidP="00000000" w:rsidRDefault="00000000" w:rsidRPr="00000000" w14:paraId="0000008B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Recomendaciones finales (breves)</w:t>
      </w:r>
    </w:p>
    <w:p w:rsidR="00000000" w:rsidDel="00000000" w:rsidP="00000000" w:rsidRDefault="00000000" w:rsidRPr="00000000" w14:paraId="00000090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Mantener la fuente JSON como canonical mientras se prepara la migración a SQL.</w:t>
      </w:r>
    </w:p>
    <w:p w:rsidR="00000000" w:rsidDel="00000000" w:rsidP="00000000" w:rsidRDefault="00000000" w:rsidRPr="00000000" w14:paraId="00000092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Implementar gradualmente autenticación y roles reales (por ejemplo con Supabase).</w:t>
      </w:r>
    </w:p>
    <w:p w:rsidR="00000000" w:rsidDel="00000000" w:rsidP="00000000" w:rsidRDefault="00000000" w:rsidRPr="00000000" w14:paraId="00000094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Añadir notificaciones programadas para caducidades críticas.</w:t>
      </w:r>
    </w:p>
    <w:p w:rsidR="00000000" w:rsidDel="00000000" w:rsidP="00000000" w:rsidRDefault="00000000" w:rsidRPr="00000000" w14:paraId="00000096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Versionar el JSON/backup automático usando export/import para recuperaciones.</w:t>
      </w:r>
    </w:p>
    <w:p w:rsidR="00000000" w:rsidDel="00000000" w:rsidP="00000000" w:rsidRDefault="00000000" w:rsidRPr="00000000" w14:paraId="00000098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—</w:t>
      </w:r>
    </w:p>
    <w:p w:rsidR="00000000" w:rsidDel="00000000" w:rsidP="00000000" w:rsidRDefault="00000000" w:rsidRPr="00000000" w14:paraId="0000009C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Redacción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15.0" w:type="dxa"/>
        <w:jc w:val="center"/>
        <w:tblBorders>
          <w:top w:color="333399" w:space="0" w:sz="18" w:val="single"/>
          <w:left w:color="000000" w:space="0" w:sz="4" w:val="dotted"/>
          <w:bottom w:color="333399" w:space="0" w:sz="18" w:val="single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80"/>
        <w:gridCol w:w="7635"/>
        <w:tblGridChange w:id="0">
          <w:tblGrid>
            <w:gridCol w:w="1880"/>
            <w:gridCol w:w="763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1. Recomendaciones metodológicas, tipográficas e impresión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Redacción: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Escribir siempre con buena ortografía en la tercera persona del singular (impersonal). Evitar errores de concordancia acerca del singular y plural en las oraciones y frases empleadas. Evitar errores de concordancia entre el femenino y masculino. Cuidar el tiempo verbal, de manera que éste no cambie cuando se expresa la misma idea. Deberá usarse en la redacción un lenguaje formal y claro y evitar las expresiones coloquiales. Evitar expresar las ideas principales en frases breves, para luego extenderse en consideraciones acerca de temas secundarios.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Tipo y tamaño de letra: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Century Gothic, 11 puntos, 1.5 de interlineado.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Extensión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Mínima, cuatro cuartillas; máxima, seis cuartillas.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Títulos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Century Gothic, 14 puntos, negritas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Márgenes y espacios: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El tamaño de los márgenes será el siguiente: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ind w:left="142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Superior:   2.5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142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Inferior:     2.5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142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Derecho: 2.5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8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Izquierdo: 3.0 cm.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Títulos, subtítulos y párrafos subsiguientes: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espacio entre títulos y texto subsiguiente, usar interlineado doble; entre subtítulos de 1er. y 2do. Orden y texto subsiguiente, usar interlineado 1.5. Entre párrafos, usar un renglón intermedio de 1.5. Textos, sin sangría.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Tablas y figuras con el texto: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espacio entre las tablas y/o figuras deben colocarse a continuación y tan cerca como sea posible de la primera referencia que a ellas se haga en el texto. Toda tabla que no quepa en el espacio restante de la página debe incluirse en la página siguiente. El título de la tabla o figura se colocará a un espacio sencillo desde la misma, a 9 puntos.</w:t>
            </w:r>
          </w:p>
        </w:tc>
      </w:tr>
    </w:tbl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418" w:top="1418" w:left="1701" w:right="1418" w:header="113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/>
  <w:font w:name="Lucida Sans"/>
  <w:font w:name="Tahoma"/>
  <w:font w:name="Calibri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22"/>
        <w:szCs w:val="22"/>
        <w:vertAlign w:val="baseline"/>
      </w:rPr>
    </w:pPr>
    <w:r w:rsidDel="00000000" w:rsidR="00000000" w:rsidRPr="00000000">
      <w:rPr>
        <w:rFonts w:ascii="Calibri" w:cs="Calibri" w:eastAsia="Calibri" w:hAnsi="Calibri"/>
        <w:color w:val="ffffff"/>
        <w:sz w:val="22"/>
        <w:szCs w:val="22"/>
        <w:highlight w:val="darkRed"/>
        <w:vertAlign w:val="baseline"/>
        <w:rtl w:val="0"/>
      </w:rPr>
      <w:t xml:space="preserve">Para uso de la Universidad Politécnica de Tlaxcala mediante su Sistema de Gestión de la Calidad</w:t>
    </w:r>
    <w:r w:rsidDel="00000000" w:rsidR="00000000" w:rsidRPr="00000000">
      <w:rPr>
        <w:rFonts w:ascii="Calibri" w:cs="Calibri" w:eastAsia="Calibri" w:hAnsi="Calibri"/>
        <w:color w:val="ffffff"/>
        <w:sz w:val="22"/>
        <w:szCs w:val="22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587.0" w:type="dxa"/>
      <w:jc w:val="center"/>
      <w:tblLayout w:type="fixed"/>
      <w:tblLook w:val="0000"/>
    </w:tblPr>
    <w:tblGrid>
      <w:gridCol w:w="2762"/>
      <w:gridCol w:w="4132"/>
      <w:gridCol w:w="2693"/>
      <w:tblGridChange w:id="0">
        <w:tblGrid>
          <w:gridCol w:w="2762"/>
          <w:gridCol w:w="4132"/>
          <w:gridCol w:w="2693"/>
        </w:tblGrid>
      </w:tblGridChange>
    </w:tblGrid>
    <w:tr>
      <w:trPr>
        <w:cantSplit w:val="0"/>
        <w:trHeight w:val="85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B9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A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Subproceso clave: Enseñanza-Aprendizaje</w:t>
          </w:r>
        </w:p>
        <w:p w:rsidR="00000000" w:rsidDel="00000000" w:rsidP="00000000" w:rsidRDefault="00000000" w:rsidRPr="00000000" w14:paraId="000000BB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Estancias y Estadías</w:t>
          </w:r>
        </w:p>
        <w:p w:rsidR="00000000" w:rsidDel="00000000" w:rsidP="00000000" w:rsidRDefault="00000000" w:rsidRPr="00000000" w14:paraId="000000BC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Formato: Guía de Elaboración del Proyecto de Estancia y Estadía</w:t>
          </w:r>
        </w:p>
        <w:p w:rsidR="00000000" w:rsidDel="00000000" w:rsidP="00000000" w:rsidRDefault="00000000" w:rsidRPr="00000000" w14:paraId="000000BD">
          <w:pPr>
            <w:jc w:val="center"/>
            <w:rPr>
              <w:rFonts w:ascii="Tahoma" w:cs="Tahoma" w:eastAsia="Tahoma" w:hAnsi="Tahoma"/>
              <w:sz w:val="16"/>
              <w:szCs w:val="16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Fecha de aprobación: Noviembre 2023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E">
          <w:pPr>
            <w:rPr>
              <w:rFonts w:ascii="Tahoma" w:cs="Tahoma" w:eastAsia="Tahoma" w:hAnsi="Tahoma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514984</wp:posOffset>
                </wp:positionH>
                <wp:positionV relativeFrom="paragraph">
                  <wp:posOffset>90170</wp:posOffset>
                </wp:positionV>
                <wp:extent cx="1198880" cy="597535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597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-297813</wp:posOffset>
          </wp:positionH>
          <wp:positionV relativeFrom="paragraph">
            <wp:posOffset>-597533</wp:posOffset>
          </wp:positionV>
          <wp:extent cx="1471295" cy="432435"/>
          <wp:effectExtent b="0" l="0" r="0" t="0"/>
          <wp:wrapNone/>
          <wp:docPr descr="gf" id="2" name="image2.png"/>
          <a:graphic>
            <a:graphicData uri="http://schemas.openxmlformats.org/drawingml/2006/picture">
              <pic:pic>
                <pic:nvPicPr>
                  <pic:cNvPr descr="gf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1295" cy="4324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_antonioupt@yahoo.com.mx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