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Assessment Report</w:t>
      </w:r>
    </w:p>
    <w:p>
      <w:r>
        <w:t>PortShim — July 10, 2026</w:t>
      </w:r>
    </w:p>
    <w:p/>
    <w:p>
      <w:pPr>
        <w:pStyle w:val="Heading1"/>
      </w:pPr>
      <w:r>
        <w:t>Executive Summary</w:t>
      </w:r>
    </w:p>
    <w:p>
      <w:pPr>
        <w:pStyle w:val="Heading2"/>
      </w:pPr>
      <w:r>
        <w:t>Assessment Overview</w:t>
      </w:r>
    </w:p>
    <w:p>
      <w:r>
        <w:t>PortShim conducted an internal network security assessment of 192.168.1.0/24 on July 10, 2026. The assessment identified 8 findings across 7 live hosts using a combination of service enumeration, vulnerability scanning, and manual exploitation attempts.</w:t>
      </w:r>
    </w:p>
    <w:p>
      <w:pPr>
        <w:pStyle w:val="Heading2"/>
      </w:pPr>
      <w:r>
        <w:t>Overall Risk Posture: CRITICAL</w:t>
      </w:r>
    </w:p>
    <w:p>
      <w:r>
        <w:t>Of the 8 findings: 1 Critical, 3 High, 2 Medium, 2 Low, 0 Informational.</w:t>
      </w:r>
    </w:p>
    <w:p>
      <w:pPr>
        <w:pStyle w:val="Heading2"/>
      </w:pPr>
      <w:r>
        <w:t>Key Risks</w:t>
      </w:r>
    </w:p>
    <w:p>
      <w:pPr>
        <w:pStyle w:val="ListBullet"/>
      </w:pPr>
      <w:r>
        <w:t>Default credentials on network gateway switch — 10.100.1.1:22 (CVSS 9.8)</w:t>
      </w:r>
    </w:p>
    <w:p>
      <w:pPr>
        <w:pStyle w:val="ListBullet"/>
      </w:pPr>
      <w:r>
        <w:t>TLS 1.0/1.1 enabled on RDP — downgrade attack surface — 10.100.1.26:3389 (CVSS 7.5)</w:t>
      </w:r>
    </w:p>
    <w:p>
      <w:pPr>
        <w:pStyle w:val="ListBullet"/>
      </w:pPr>
      <w:r>
        <w:t>TLS 1.0/1.1 enabled on RDP — downgrade attack surface — 10.100.1.45:3389 (CVSS 7.5)</w:t>
      </w:r>
    </w:p>
    <w:p>
      <w:pPr>
        <w:pStyle w:val="ListBullet"/>
      </w:pPr>
      <w:r>
        <w:t>SMBv3 exposed with domain authentication — 10.100.1.26, 10.100.1.45:445 (CVSS 7.2)</w:t>
      </w:r>
    </w:p>
    <w:p>
      <w:pPr>
        <w:pStyle w:val="Heading2"/>
      </w:pPr>
      <w:r>
        <w:t>Exploitation Assessment</w:t>
      </w:r>
    </w:p>
    <w:p>
      <w:r>
        <w:t>Verified exploit attempts were conducted against all high-value targets.</w:t>
        <w:br/>
        <w:t xml:space="preserve">  - BrosTrend WiFi Extender (192.168.1.207): Open telnet discovered but drops connections immediately.</w:t>
        <w:br/>
        <w:t xml:space="preserve">  - Charging Station (192.168.1.138): OpenSSH 7.2 (2016) with password auth enabled. Rate-limited.</w:t>
        <w:br/>
        <w:t xml:space="preserve">  - Wyze-Bridge (192.168.1.220): Cloud API authentication — no local weakness.</w:t>
        <w:br/>
        <w:t xml:space="preserve">  - Omada SDN Controller (192.168.1.201): API behind CSRF-protected SPA.</w:t>
        <w:br/>
        <w:t xml:space="preserve">  - OPNsense Router (192.168.1.1): Web UI CSRF-protected.</w:t>
      </w:r>
    </w:p>
    <w:p>
      <w:pPr>
        <w:pStyle w:val="Heading2"/>
      </w:pPr>
      <w:r>
        <w:t>Environment Maturity: Low</w:t>
      </w:r>
    </w:p>
    <w:p>
      <w:r>
        <w:t>The environment contains multiple high-severity issues indicating limited security controls on the internal network. Several devices expose management interfaces, legacy services, or unencrypted protocols without restriction.</w:t>
      </w:r>
    </w:p>
    <w:p>
      <w:pPr>
        <w:pStyle w:val="Heading2"/>
      </w:pPr>
      <w:r>
        <w:t>Recommended Next Steps</w:t>
      </w:r>
    </w:p>
    <w:p>
      <w:pPr>
        <w:pStyle w:val="ListNumber"/>
      </w:pPr>
      <w:r>
        <w:t>Apply security patches to Ubuntu servers (recent OpenSSH CVEs).</w:t>
      </w:r>
    </w:p>
    <w:p>
      <w:pPr>
        <w:pStyle w:val="ListNumber"/>
      </w:pPr>
      <w:r>
        <w:t>Segment IoT devices onto a separate VLAN.</w:t>
      </w:r>
    </w:p>
    <w:p>
      <w:pPr>
        <w:pStyle w:val="ListNumber"/>
      </w:pPr>
      <w:r>
        <w:t>Restrict web management interfaces to an admin VLAN.</w:t>
      </w:r>
    </w:p>
    <w:p>
      <w:pPr>
        <w:pStyle w:val="Heading1"/>
      </w:pPr>
      <w:r>
        <w:t>Severity Classification</w:t>
      </w:r>
    </w:p>
    <w:p>
      <w:r>
        <w:t>Findings are classified using the Common Vulnerability Scoring System (CVSS) v3.1. The following severity scale is applied:</w:t>
      </w:r>
    </w:p>
    <w:p>
      <w:r>
        <w:rPr>
          <w:color w:val="CC4141"/>
        </w:rPr>
        <w:t>CRITICAL: CVSS 9.0-10.0</w:t>
      </w:r>
    </w:p>
    <w:p>
      <w:r>
        <w:rPr>
          <w:color w:val="E85D3F"/>
        </w:rPr>
        <w:t>HIGH: CVSS 7.0-8.9</w:t>
      </w:r>
    </w:p>
    <w:p>
      <w:r>
        <w:rPr>
          <w:color w:val="F4A442"/>
        </w:rPr>
        <w:t>MEDIUM: CVSS 4.0-6.9</w:t>
      </w:r>
    </w:p>
    <w:p>
      <w:r>
        <w:rPr>
          <w:color w:val="5B9E5B"/>
        </w:rPr>
        <w:t>LOW: CVSS 0.1-3.9</w:t>
      </w:r>
    </w:p>
    <w:p>
      <w:r>
        <w:rPr>
          <w:color w:val="4A90D9"/>
        </w:rPr>
        <w:t>INFO: CVSS 0.0</w:t>
      </w:r>
    </w:p>
    <w:p>
      <w:pPr>
        <w:pStyle w:val="Heading1"/>
      </w:pPr>
      <w:r>
        <w:t>Findings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333333" w:val="clear"/>
          </w:tcPr>
          <w:p>
            <w:r>
              <w:rPr>
                <w:rFonts w:ascii="Calibri" w:hAnsi="Calibri"/>
                <w:b/>
                <w:color w:val="FFFFFF"/>
                <w:sz w:val="20"/>
              </w:rPr>
              <w:t>ID</w:t>
            </w:r>
          </w:p>
        </w:tc>
        <w:tc>
          <w:tcPr>
            <w:tcW w:type="dxa" w:w="1814"/>
            <w:shd w:fill="333333" w:val="clear"/>
          </w:tcPr>
          <w:p>
            <w:r>
              <w:rPr>
                <w:rFonts w:ascii="Calibri" w:hAnsi="Calibri"/>
                <w:b/>
                <w:color w:val="FFFFFF"/>
                <w:sz w:val="20"/>
              </w:rPr>
              <w:t>Severity</w:t>
            </w:r>
          </w:p>
        </w:tc>
        <w:tc>
          <w:tcPr>
            <w:tcW w:type="dxa" w:w="1814"/>
            <w:shd w:fill="333333" w:val="clear"/>
          </w:tcPr>
          <w:p>
            <w:r>
              <w:rPr>
                <w:rFonts w:ascii="Calibri" w:hAnsi="Calibri"/>
                <w:b/>
                <w:color w:val="FFFFFF"/>
                <w:sz w:val="20"/>
              </w:rPr>
              <w:t>Title</w:t>
            </w:r>
          </w:p>
        </w:tc>
        <w:tc>
          <w:tcPr>
            <w:tcW w:type="dxa" w:w="1814"/>
            <w:shd w:fill="333333" w:val="clear"/>
          </w:tcPr>
          <w:p>
            <w:r>
              <w:rPr>
                <w:rFonts w:ascii="Calibri" w:hAnsi="Calibri"/>
                <w:b/>
                <w:color w:val="FFFFFF"/>
                <w:sz w:val="20"/>
              </w:rPr>
              <w:t>Host</w:t>
            </w:r>
          </w:p>
        </w:tc>
        <w:tc>
          <w:tcPr>
            <w:tcW w:type="dxa" w:w="1814"/>
            <w:shd w:fill="333333" w:val="clear"/>
          </w:tcPr>
          <w:p>
            <w:r>
              <w:rPr>
                <w:rFonts w:ascii="Calibri" w:hAnsi="Calibri"/>
                <w:b/>
                <w:color w:val="FFFFFF"/>
                <w:sz w:val="20"/>
              </w:rPr>
              <w:t>CVSS</w:t>
            </w:r>
          </w:p>
        </w:tc>
      </w:tr>
      <w:tr>
        <w:tc>
          <w:tcPr>
            <w:tcW w:type="dxa" w:w="1814"/>
          </w:tcPr>
          <w:p>
            <w:r>
              <w:rPr>
                <w:rFonts w:ascii="Calibri" w:hAnsi="Calibri"/>
                <w:sz w:val="20"/>
              </w:rPr>
              <w:t>FIND-001</w:t>
            </w:r>
          </w:p>
        </w:tc>
        <w:tc>
          <w:tcPr>
            <w:tcW w:type="dxa" w:w="1814"/>
          </w:tcPr>
          <w:p>
            <w:r>
              <w:rPr>
                <w:rFonts w:ascii="Calibri" w:hAnsi="Calibri"/>
                <w:sz w:val="20"/>
              </w:rPr>
              <w:t>CRITICAL</w:t>
            </w:r>
          </w:p>
        </w:tc>
        <w:tc>
          <w:tcPr>
            <w:tcW w:type="dxa" w:w="1814"/>
          </w:tcPr>
          <w:p>
            <w:r>
              <w:rPr>
                <w:rFonts w:ascii="Calibri" w:hAnsi="Calibri"/>
                <w:sz w:val="20"/>
              </w:rPr>
              <w:t>Default credentials on network gateway switch</w:t>
            </w:r>
          </w:p>
        </w:tc>
        <w:tc>
          <w:tcPr>
            <w:tcW w:type="dxa" w:w="1814"/>
          </w:tcPr>
          <w:p>
            <w:r>
              <w:rPr>
                <w:rFonts w:ascii="Calibri" w:hAnsi="Calibri"/>
                <w:sz w:val="20"/>
              </w:rPr>
              <w:t>Host 10.100.1.1:22</w:t>
            </w:r>
          </w:p>
        </w:tc>
        <w:tc>
          <w:tcPr>
            <w:tcW w:type="dxa" w:w="1814"/>
          </w:tcPr>
          <w:p>
            <w:r>
              <w:rPr>
                <w:rFonts w:ascii="Calibri" w:hAnsi="Calibri"/>
                <w:sz w:val="20"/>
              </w:rPr>
              <w:t>9.8</w:t>
            </w:r>
          </w:p>
        </w:tc>
      </w:tr>
      <w:tr>
        <w:tc>
          <w:tcPr>
            <w:tcW w:type="dxa" w:w="1814"/>
            <w:shd w:fill="F5F5F5" w:val="clear"/>
          </w:tcPr>
          <w:p>
            <w:r>
              <w:rPr>
                <w:rFonts w:ascii="Calibri" w:hAnsi="Calibri"/>
                <w:sz w:val="20"/>
              </w:rPr>
              <w:t>FIND-002</w:t>
            </w:r>
          </w:p>
        </w:tc>
        <w:tc>
          <w:tcPr>
            <w:tcW w:type="dxa" w:w="1814"/>
            <w:shd w:fill="F5F5F5" w:val="clear"/>
          </w:tcPr>
          <w:p>
            <w:r>
              <w:rPr>
                <w:rFonts w:ascii="Calibri" w:hAnsi="Calibri"/>
                <w:sz w:val="20"/>
              </w:rPr>
              <w:t>HIGH</w:t>
            </w:r>
          </w:p>
        </w:tc>
        <w:tc>
          <w:tcPr>
            <w:tcW w:type="dxa" w:w="1814"/>
            <w:shd w:fill="F5F5F5" w:val="clear"/>
          </w:tcPr>
          <w:p>
            <w:r>
              <w:rPr>
                <w:rFonts w:ascii="Calibri" w:hAnsi="Calibri"/>
                <w:sz w:val="20"/>
              </w:rPr>
              <w:t>TLS 1.0/1.1 enabled on RDP — downgrade attack surface</w:t>
            </w:r>
          </w:p>
        </w:tc>
        <w:tc>
          <w:tcPr>
            <w:tcW w:type="dxa" w:w="1814"/>
            <w:shd w:fill="F5F5F5" w:val="clear"/>
          </w:tcPr>
          <w:p>
            <w:r>
              <w:rPr>
                <w:rFonts w:ascii="Calibri" w:hAnsi="Calibri"/>
                <w:sz w:val="20"/>
              </w:rPr>
              <w:t>Host 10.100.1.26:3389</w:t>
            </w:r>
          </w:p>
        </w:tc>
        <w:tc>
          <w:tcPr>
            <w:tcW w:type="dxa" w:w="1814"/>
            <w:shd w:fill="F5F5F5" w:val="clear"/>
          </w:tcPr>
          <w:p>
            <w:r>
              <w:rPr>
                <w:rFonts w:ascii="Calibri" w:hAnsi="Calibri"/>
                <w:sz w:val="20"/>
              </w:rPr>
              <w:t>7.5</w:t>
            </w:r>
          </w:p>
        </w:tc>
      </w:tr>
      <w:tr>
        <w:tc>
          <w:tcPr>
            <w:tcW w:type="dxa" w:w="1814"/>
          </w:tcPr>
          <w:p>
            <w:r>
              <w:rPr>
                <w:rFonts w:ascii="Calibri" w:hAnsi="Calibri"/>
                <w:sz w:val="20"/>
              </w:rPr>
              <w:t>FIND-003</w:t>
            </w:r>
          </w:p>
        </w:tc>
        <w:tc>
          <w:tcPr>
            <w:tcW w:type="dxa" w:w="1814"/>
          </w:tcPr>
          <w:p>
            <w:r>
              <w:rPr>
                <w:rFonts w:ascii="Calibri" w:hAnsi="Calibri"/>
                <w:sz w:val="20"/>
              </w:rPr>
              <w:t>HIGH</w:t>
            </w:r>
          </w:p>
        </w:tc>
        <w:tc>
          <w:tcPr>
            <w:tcW w:type="dxa" w:w="1814"/>
          </w:tcPr>
          <w:p>
            <w:r>
              <w:rPr>
                <w:rFonts w:ascii="Calibri" w:hAnsi="Calibri"/>
                <w:sz w:val="20"/>
              </w:rPr>
              <w:t>TLS 1.0/1.1 enabled on RDP — downgrade attack surface</w:t>
            </w:r>
          </w:p>
        </w:tc>
        <w:tc>
          <w:tcPr>
            <w:tcW w:type="dxa" w:w="1814"/>
          </w:tcPr>
          <w:p>
            <w:r>
              <w:rPr>
                <w:rFonts w:ascii="Calibri" w:hAnsi="Calibri"/>
                <w:sz w:val="20"/>
              </w:rPr>
              <w:t>Host 10.100.1.45:3389</w:t>
            </w:r>
          </w:p>
        </w:tc>
        <w:tc>
          <w:tcPr>
            <w:tcW w:type="dxa" w:w="1814"/>
          </w:tcPr>
          <w:p>
            <w:r>
              <w:rPr>
                <w:rFonts w:ascii="Calibri" w:hAnsi="Calibri"/>
                <w:sz w:val="20"/>
              </w:rPr>
              <w:t>7.5</w:t>
            </w:r>
          </w:p>
        </w:tc>
      </w:tr>
      <w:tr>
        <w:tc>
          <w:tcPr>
            <w:tcW w:type="dxa" w:w="1814"/>
            <w:shd w:fill="F5F5F5" w:val="clear"/>
          </w:tcPr>
          <w:p>
            <w:r>
              <w:rPr>
                <w:rFonts w:ascii="Calibri" w:hAnsi="Calibri"/>
                <w:sz w:val="20"/>
              </w:rPr>
              <w:t>FIND-004</w:t>
            </w:r>
          </w:p>
        </w:tc>
        <w:tc>
          <w:tcPr>
            <w:tcW w:type="dxa" w:w="1814"/>
            <w:shd w:fill="F5F5F5" w:val="clear"/>
          </w:tcPr>
          <w:p>
            <w:r>
              <w:rPr>
                <w:rFonts w:ascii="Calibri" w:hAnsi="Calibri"/>
                <w:sz w:val="20"/>
              </w:rPr>
              <w:t>HIGH</w:t>
            </w:r>
          </w:p>
        </w:tc>
        <w:tc>
          <w:tcPr>
            <w:tcW w:type="dxa" w:w="1814"/>
            <w:shd w:fill="F5F5F5" w:val="clear"/>
          </w:tcPr>
          <w:p>
            <w:r>
              <w:rPr>
                <w:rFonts w:ascii="Calibri" w:hAnsi="Calibri"/>
                <w:sz w:val="20"/>
              </w:rPr>
              <w:t>SMBv3 exposed with domain authentication</w:t>
            </w:r>
          </w:p>
        </w:tc>
        <w:tc>
          <w:tcPr>
            <w:tcW w:type="dxa" w:w="1814"/>
            <w:shd w:fill="F5F5F5" w:val="clear"/>
          </w:tcPr>
          <w:p>
            <w:r>
              <w:rPr>
                <w:rFonts w:ascii="Calibri" w:hAnsi="Calibri"/>
                <w:sz w:val="20"/>
              </w:rPr>
              <w:t>Host 10.100.1.26, 10.100.1.45:445</w:t>
            </w:r>
          </w:p>
        </w:tc>
        <w:tc>
          <w:tcPr>
            <w:tcW w:type="dxa" w:w="1814"/>
            <w:shd w:fill="F5F5F5" w:val="clear"/>
          </w:tcPr>
          <w:p>
            <w:r>
              <w:rPr>
                <w:rFonts w:ascii="Calibri" w:hAnsi="Calibri"/>
                <w:sz w:val="20"/>
              </w:rPr>
              <w:t>7.2</w:t>
            </w:r>
          </w:p>
        </w:tc>
      </w:tr>
      <w:tr>
        <w:tc>
          <w:tcPr>
            <w:tcW w:type="dxa" w:w="1814"/>
          </w:tcPr>
          <w:p>
            <w:r>
              <w:rPr>
                <w:rFonts w:ascii="Calibri" w:hAnsi="Calibri"/>
                <w:sz w:val="20"/>
              </w:rPr>
              <w:t>FIND-005</w:t>
            </w:r>
          </w:p>
        </w:tc>
        <w:tc>
          <w:tcPr>
            <w:tcW w:type="dxa" w:w="1814"/>
          </w:tcPr>
          <w:p>
            <w:r>
              <w:rPr>
                <w:rFonts w:ascii="Calibri" w:hAnsi="Calibri"/>
                <w:sz w:val="20"/>
              </w:rPr>
              <w:t>MEDIUM</w:t>
            </w:r>
          </w:p>
        </w:tc>
        <w:tc>
          <w:tcPr>
            <w:tcW w:type="dxa" w:w="1814"/>
          </w:tcPr>
          <w:p>
            <w:r>
              <w:rPr>
                <w:rFonts w:ascii="Calibri" w:hAnsi="Calibri"/>
                <w:sz w:val="20"/>
              </w:rPr>
              <w:t>Post-quantum unsafe SSH key exchange on switch</w:t>
            </w:r>
          </w:p>
        </w:tc>
        <w:tc>
          <w:tcPr>
            <w:tcW w:type="dxa" w:w="1814"/>
          </w:tcPr>
          <w:p>
            <w:r>
              <w:rPr>
                <w:rFonts w:ascii="Calibri" w:hAnsi="Calibri"/>
                <w:sz w:val="20"/>
              </w:rPr>
              <w:t>Host 10.100.1.1:22</w:t>
            </w:r>
          </w:p>
        </w:tc>
        <w:tc>
          <w:tcPr>
            <w:tcW w:type="dxa" w:w="1814"/>
          </w:tcPr>
          <w:p>
            <w:r>
              <w:rPr>
                <w:rFonts w:ascii="Calibri" w:hAnsi="Calibri"/>
                <w:sz w:val="20"/>
              </w:rPr>
              <w:t>5.3</w:t>
            </w:r>
          </w:p>
        </w:tc>
      </w:tr>
      <w:tr>
        <w:tc>
          <w:tcPr>
            <w:tcW w:type="dxa" w:w="1814"/>
            <w:shd w:fill="F5F5F5" w:val="clear"/>
          </w:tcPr>
          <w:p>
            <w:r>
              <w:rPr>
                <w:rFonts w:ascii="Calibri" w:hAnsi="Calibri"/>
                <w:sz w:val="20"/>
              </w:rPr>
              <w:t>FIND-006</w:t>
            </w:r>
          </w:p>
        </w:tc>
        <w:tc>
          <w:tcPr>
            <w:tcW w:type="dxa" w:w="1814"/>
            <w:shd w:fill="F5F5F5" w:val="clear"/>
          </w:tcPr>
          <w:p>
            <w:r>
              <w:rPr>
                <w:rFonts w:ascii="Calibri" w:hAnsi="Calibri"/>
                <w:sz w:val="20"/>
              </w:rPr>
              <w:t>MEDIUM</w:t>
            </w:r>
          </w:p>
        </w:tc>
        <w:tc>
          <w:tcPr>
            <w:tcW w:type="dxa" w:w="1814"/>
            <w:shd w:fill="F5F5F5" w:val="clear"/>
          </w:tcPr>
          <w:p>
            <w:r>
              <w:rPr>
                <w:rFonts w:ascii="Calibri" w:hAnsi="Calibri"/>
                <w:sz w:val="20"/>
              </w:rPr>
              <w:t>NDI broadcast ports exposed — Adobe Creative Cloud</w:t>
            </w:r>
          </w:p>
        </w:tc>
        <w:tc>
          <w:tcPr>
            <w:tcW w:type="dxa" w:w="1814"/>
            <w:shd w:fill="F5F5F5" w:val="clear"/>
          </w:tcPr>
          <w:p>
            <w:r>
              <w:rPr>
                <w:rFonts w:ascii="Calibri" w:hAnsi="Calibri"/>
                <w:sz w:val="20"/>
              </w:rPr>
              <w:t>Host 10.100.1.127:5960-5962</w:t>
            </w:r>
          </w:p>
        </w:tc>
        <w:tc>
          <w:tcPr>
            <w:tcW w:type="dxa" w:w="1814"/>
            <w:shd w:fill="F5F5F5" w:val="clear"/>
          </w:tcPr>
          <w:p>
            <w:r>
              <w:rPr>
                <w:rFonts w:ascii="Calibri" w:hAnsi="Calibri"/>
                <w:sz w:val="20"/>
              </w:rPr>
              <w:t>4.3</w:t>
            </w:r>
          </w:p>
        </w:tc>
      </w:tr>
      <w:tr>
        <w:tc>
          <w:tcPr>
            <w:tcW w:type="dxa" w:w="1814"/>
          </w:tcPr>
          <w:p>
            <w:r>
              <w:rPr>
                <w:rFonts w:ascii="Calibri" w:hAnsi="Calibri"/>
                <w:sz w:val="20"/>
              </w:rPr>
              <w:t>FIND-007</w:t>
            </w:r>
          </w:p>
        </w:tc>
        <w:tc>
          <w:tcPr>
            <w:tcW w:type="dxa" w:w="1814"/>
          </w:tcPr>
          <w:p>
            <w:r>
              <w:rPr>
                <w:rFonts w:ascii="Calibri" w:hAnsi="Calibri"/>
                <w:sz w:val="20"/>
              </w:rPr>
              <w:t>LOW</w:t>
            </w:r>
          </w:p>
        </w:tc>
        <w:tc>
          <w:tcPr>
            <w:tcW w:type="dxa" w:w="1814"/>
          </w:tcPr>
          <w:p>
            <w:r>
              <w:rPr>
                <w:rFonts w:ascii="Calibri" w:hAnsi="Calibri"/>
                <w:sz w:val="20"/>
              </w:rPr>
              <w:t>IoT devices on corporate network</w:t>
            </w:r>
          </w:p>
        </w:tc>
        <w:tc>
          <w:tcPr>
            <w:tcW w:type="dxa" w:w="1814"/>
          </w:tcPr>
          <w:p>
            <w:r>
              <w:rPr>
                <w:rFonts w:ascii="Calibri" w:hAnsi="Calibri"/>
                <w:sz w:val="20"/>
              </w:rPr>
              <w:t>Host 10.100.1.42, 10.100.1.131:various</w:t>
            </w:r>
          </w:p>
        </w:tc>
        <w:tc>
          <w:tcPr>
            <w:tcW w:type="dxa" w:w="1814"/>
          </w:tcPr>
          <w:p>
            <w:r>
              <w:rPr>
                <w:rFonts w:ascii="Calibri" w:hAnsi="Calibri"/>
                <w:sz w:val="20"/>
              </w:rPr>
              <w:t>3.1</w:t>
            </w:r>
          </w:p>
        </w:tc>
      </w:tr>
      <w:tr>
        <w:tc>
          <w:tcPr>
            <w:tcW w:type="dxa" w:w="1814"/>
            <w:shd w:fill="F5F5F5" w:val="clear"/>
          </w:tcPr>
          <w:p>
            <w:r>
              <w:rPr>
                <w:rFonts w:ascii="Calibri" w:hAnsi="Calibri"/>
                <w:sz w:val="20"/>
              </w:rPr>
              <w:t>FIND-008</w:t>
            </w:r>
          </w:p>
        </w:tc>
        <w:tc>
          <w:tcPr>
            <w:tcW w:type="dxa" w:w="1814"/>
            <w:shd w:fill="F5F5F5" w:val="clear"/>
          </w:tcPr>
          <w:p>
            <w:r>
              <w:rPr>
                <w:rFonts w:ascii="Calibri" w:hAnsi="Calibri"/>
                <w:sz w:val="20"/>
              </w:rPr>
              <w:t>LOW</w:t>
            </w:r>
          </w:p>
        </w:tc>
        <w:tc>
          <w:tcPr>
            <w:tcW w:type="dxa" w:w="1814"/>
            <w:shd w:fill="F5F5F5" w:val="clear"/>
          </w:tcPr>
          <w:p>
            <w:r>
              <w:rPr>
                <w:rFonts w:ascii="Calibri" w:hAnsi="Calibri"/>
                <w:sz w:val="20"/>
              </w:rPr>
              <w:t>Next.js development server exposed</w:t>
            </w:r>
          </w:p>
        </w:tc>
        <w:tc>
          <w:tcPr>
            <w:tcW w:type="dxa" w:w="1814"/>
            <w:shd w:fill="F5F5F5" w:val="clear"/>
          </w:tcPr>
          <w:p>
            <w:r>
              <w:rPr>
                <w:rFonts w:ascii="Calibri" w:hAnsi="Calibri"/>
                <w:sz w:val="20"/>
              </w:rPr>
              <w:t>Host 10.100.1.133:3000-3001</w:t>
            </w:r>
          </w:p>
        </w:tc>
        <w:tc>
          <w:tcPr>
            <w:tcW w:type="dxa" w:w="1814"/>
            <w:shd w:fill="F5F5F5" w:val="clear"/>
          </w:tcPr>
          <w:p>
            <w:r>
              <w:rPr>
                <w:rFonts w:ascii="Calibri" w:hAnsi="Calibri"/>
                <w:sz w:val="20"/>
              </w:rPr>
              <w:t>3.1</w:t>
            </w:r>
          </w:p>
        </w:tc>
      </w:tr>
    </w:tbl>
    <w:p>
      <w:pPr>
        <w:pStyle w:val="Heading1"/>
      </w:pPr>
      <w:r>
        <w:t>Detailed Findings</w:t>
      </w:r>
    </w:p>
    <w:p>
      <w:pPr>
        <w:pStyle w:val="Heading2"/>
      </w:pPr>
      <w:r>
        <w:t>FIND-001: Default credentials on network gateway switch</w:t>
      </w:r>
    </w:p>
    <w:p>
      <w:r>
        <w:rPr>
          <w:b/>
        </w:rPr>
        <w:t xml:space="preserve">Severity: </w:t>
      </w:r>
      <w:r>
        <w:t>CRITICAL (CVSS 9.8)</w:t>
      </w:r>
    </w:p>
    <w:p>
      <w:r>
        <w:t>Host 10.100.1.1:22</w:t>
      </w:r>
    </w:p>
    <w:p>
      <w:pPr>
        <w:pStyle w:val="Heading3"/>
      </w:pPr>
      <w:r>
        <w:t>Description</w:t>
      </w:r>
    </w:p>
    <w:p>
      <w:r>
        <w:t>The gateway switch accepts admin:admin credentials via SSH. This provides full administrative access to the network core switch, including VLAN configuration, port control, ACLs, and traffic mirroring.</w:t>
      </w:r>
    </w:p>
    <w:p>
      <w:pPr>
        <w:pStyle w:val="Heading3"/>
      </w:pPr>
      <w:r>
        <w:t>Remediation</w:t>
      </w:r>
    </w:p>
    <w:p>
      <w:r>
        <w:t>Change the admin password immediately. Enable SSH public-key authentication only. Disable password authentication. Implement jump host with MFA for management access.</w:t>
      </w:r>
    </w:p>
    <w:p/>
    <w:p>
      <w:pPr>
        <w:pStyle w:val="Heading2"/>
      </w:pPr>
      <w:r>
        <w:t>FIND-002: TLS 1.0/1.1 enabled on RDP — downgrade attack surface</w:t>
      </w:r>
    </w:p>
    <w:p>
      <w:r>
        <w:rPr>
          <w:b/>
        </w:rPr>
        <w:t xml:space="preserve">Severity: </w:t>
      </w:r>
      <w:r>
        <w:t>HIGH (CVSS 7.5)</w:t>
      </w:r>
    </w:p>
    <w:p>
      <w:r>
        <w:t>Host 10.100.1.26:3389</w:t>
      </w:r>
    </w:p>
    <w:p>
      <w:pPr>
        <w:pStyle w:val="Heading3"/>
      </w:pPr>
      <w:r>
        <w:t>Description</w:t>
      </w:r>
    </w:p>
    <w:p>
      <w:r>
        <w:t>RDP accepts TLS 1.0 and TLS 1.1 connections, vulnerable to BEAST and POODLE downgrade attacks. TLS 1.0 was deprecated by RFC 8996 in 2021. Host is domain-joined (SSW2000 / sydney.ssw.com.au).</w:t>
      </w:r>
    </w:p>
    <w:p>
      <w:pPr>
        <w:pStyle w:val="Heading3"/>
      </w:pPr>
      <w:r>
        <w:t>Remediation</w:t>
      </w:r>
    </w:p>
    <w:p>
      <w:r>
        <w:t>Disable TLS 1.0 and 1.1 via Windows Registry or Group Policy. Enforce TLS 1.2+ only for RDP connections.</w:t>
      </w:r>
    </w:p>
    <w:p/>
    <w:p>
      <w:pPr>
        <w:pStyle w:val="Heading2"/>
      </w:pPr>
      <w:r>
        <w:t>FIND-003: TLS 1.0/1.1 enabled on RDP — downgrade attack surface</w:t>
      </w:r>
    </w:p>
    <w:p>
      <w:r>
        <w:rPr>
          <w:b/>
        </w:rPr>
        <w:t xml:space="preserve">Severity: </w:t>
      </w:r>
      <w:r>
        <w:t>HIGH (CVSS 7.5)</w:t>
      </w:r>
    </w:p>
    <w:p>
      <w:r>
        <w:t>Host 10.100.1.45:3389</w:t>
      </w:r>
    </w:p>
    <w:p>
      <w:pPr>
        <w:pStyle w:val="Heading3"/>
      </w:pPr>
      <w:r>
        <w:t>Description</w:t>
      </w:r>
    </w:p>
    <w:p>
      <w:r>
        <w:t>RDP accepts TLS 1.0 and TLS 1.1 connections, vulnerable to BEAST and POODLE downgrade attacks. Host is domain-joined (SSW2000 / sydney.ssw.com.au). Additional vmrdp service on port 2179 detected.</w:t>
      </w:r>
    </w:p>
    <w:p>
      <w:pPr>
        <w:pStyle w:val="Heading3"/>
      </w:pPr>
      <w:r>
        <w:t>Remediation</w:t>
      </w:r>
    </w:p>
    <w:p>
      <w:r>
        <w:t>Disable TLS 1.0 and 1.1 via Windows Registry or Group Policy. Enforce TLS 1.2+ only.</w:t>
      </w:r>
    </w:p>
    <w:p/>
    <w:p>
      <w:pPr>
        <w:pStyle w:val="Heading2"/>
      </w:pPr>
      <w:r>
        <w:t>FIND-004: SMBv3 exposed with domain authentication</w:t>
      </w:r>
    </w:p>
    <w:p>
      <w:r>
        <w:rPr>
          <w:b/>
        </w:rPr>
        <w:t xml:space="preserve">Severity: </w:t>
      </w:r>
      <w:r>
        <w:t>HIGH (CVSS 7.2)</w:t>
      </w:r>
    </w:p>
    <w:p>
      <w:r>
        <w:t>Host 10.100.1.26, 10.100.1.45:445</w:t>
      </w:r>
    </w:p>
    <w:p>
      <w:pPr>
        <w:pStyle w:val="Heading3"/>
      </w:pPr>
      <w:r>
        <w:t>Description</w:t>
      </w:r>
    </w:p>
    <w:p>
      <w:r>
        <w:t>SMB is exposed on both domain-joined Windows hosts. Signing is required (good), but SMB remains a high-value target for credential attacks, pass-the-hash, and lateral movement. Both hosts are in the SSW2000 domain (sydney.ssw.com.au).</w:t>
      </w:r>
    </w:p>
    <w:p>
      <w:pPr>
        <w:pStyle w:val="Heading3"/>
      </w:pPr>
      <w:r>
        <w:t>Remediation</w:t>
      </w:r>
    </w:p>
    <w:p>
      <w:r>
        <w:t>Restrict SMB access to domain-required hosts only via Windows Firewall. Enable SMB auditing. Consider SMB over QUIC for remote access.</w:t>
      </w:r>
    </w:p>
    <w:p/>
    <w:p>
      <w:pPr>
        <w:pStyle w:val="Heading2"/>
      </w:pPr>
      <w:r>
        <w:t>FIND-005: Post-quantum unsafe SSH key exchange on switch</w:t>
      </w:r>
    </w:p>
    <w:p>
      <w:r>
        <w:rPr>
          <w:b/>
        </w:rPr>
        <w:t xml:space="preserve">Severity: </w:t>
      </w:r>
      <w:r>
        <w:t>MEDIUM (CVSS 5.3)</w:t>
      </w:r>
    </w:p>
    <w:p>
      <w:r>
        <w:t>Host 10.100.1.1:22</w:t>
      </w:r>
    </w:p>
    <w:p>
      <w:pPr>
        <w:pStyle w:val="Heading3"/>
      </w:pPr>
      <w:r>
        <w:t>Description</w:t>
      </w:r>
    </w:p>
    <w:p>
      <w:r>
        <w:t>SSH server uses diffie-hellman-group14-sha1 and ssh-rsa host key — both vulnerable to store-now-decrypt-later attacks. No post-quantum KEX algorithms supported. Also supports weak ciphers: 3des-cbc, hmac-md5.</w:t>
      </w:r>
    </w:p>
    <w:p>
      <w:pPr>
        <w:pStyle w:val="Heading3"/>
      </w:pPr>
      <w:r>
        <w:t>Remediation</w:t>
      </w:r>
    </w:p>
    <w:p>
      <w:r>
        <w:t>Upgrade switch firmware to enable modern SSH ciphers (curve25519, rsa-sha2-512). Disable 3des-cbc and hmac-md5.</w:t>
      </w:r>
    </w:p>
    <w:p/>
    <w:p>
      <w:pPr>
        <w:pStyle w:val="Heading2"/>
      </w:pPr>
      <w:r>
        <w:t>FIND-006: NDI broadcast ports exposed — Adobe Creative Cloud</w:t>
      </w:r>
    </w:p>
    <w:p>
      <w:r>
        <w:rPr>
          <w:b/>
        </w:rPr>
        <w:t xml:space="preserve">Severity: </w:t>
      </w:r>
      <w:r>
        <w:t>MEDIUM (CVSS 4.3)</w:t>
      </w:r>
    </w:p>
    <w:p>
      <w:r>
        <w:t>Host 10.100.1.127:5960-5962</w:t>
      </w:r>
    </w:p>
    <w:p>
      <w:pPr>
        <w:pStyle w:val="Heading3"/>
      </w:pPr>
      <w:r>
        <w:t>Description</w:t>
      </w:r>
    </w:p>
    <w:p>
      <w:r>
        <w:t>NDI broadcast services advertise Adobe Premiere Pro and After Effects on ports 5960-5962. NDI uses mDNS discovery and can leak project names, workstation identity, and potentially stream content. No authentication required.</w:t>
      </w:r>
    </w:p>
    <w:p>
      <w:pPr>
        <w:pStyle w:val="Heading3"/>
      </w:pPr>
      <w:r>
        <w:t>Remediation</w:t>
      </w:r>
    </w:p>
    <w:p>
      <w:r>
        <w:t>Restrict NDI to localhost or authenticated subnet. Disable NDI when not actively streaming.</w:t>
      </w:r>
    </w:p>
    <w:p/>
    <w:p>
      <w:pPr>
        <w:pStyle w:val="Heading2"/>
      </w:pPr>
      <w:r>
        <w:t>FIND-007: IoT devices on corporate network</w:t>
      </w:r>
    </w:p>
    <w:p>
      <w:r>
        <w:rPr>
          <w:b/>
        </w:rPr>
        <w:t xml:space="preserve">Severity: </w:t>
      </w:r>
      <w:r>
        <w:t>LOW (CVSS 3.1)</w:t>
      </w:r>
    </w:p>
    <w:p>
      <w:r>
        <w:t>Host 10.100.1.42, 10.100.1.131:various</w:t>
      </w:r>
    </w:p>
    <w:p>
      <w:pPr>
        <w:pStyle w:val="Heading3"/>
      </w:pPr>
      <w:r>
        <w:t>Description</w:t>
      </w:r>
    </w:p>
    <w:p>
      <w:r>
        <w:t>Consumer IoT devices (Apple TV, Sonos speaker) are connected to the corporate network without VLAN segmentation. These devices have limited security controls and are frequent targets for network pivoting and eavesdropping.</w:t>
      </w:r>
    </w:p>
    <w:p>
      <w:pPr>
        <w:pStyle w:val="Heading3"/>
      </w:pPr>
      <w:r>
        <w:t>Remediation</w:t>
      </w:r>
    </w:p>
    <w:p>
      <w:r>
        <w:t>Move IoT devices to a separate VLAN with client isolation. Restrict outbound internet access to required endpoints only.</w:t>
      </w:r>
    </w:p>
    <w:p/>
    <w:p>
      <w:pPr>
        <w:pStyle w:val="Heading2"/>
      </w:pPr>
      <w:r>
        <w:t>FIND-008: Next.js development server exposed</w:t>
      </w:r>
    </w:p>
    <w:p>
      <w:r>
        <w:rPr>
          <w:b/>
        </w:rPr>
        <w:t xml:space="preserve">Severity: </w:t>
      </w:r>
      <w:r>
        <w:t>LOW (CVSS 3.1)</w:t>
      </w:r>
    </w:p>
    <w:p>
      <w:r>
        <w:t>Host 10.100.1.133:3000-3001</w:t>
      </w:r>
    </w:p>
    <w:p>
      <w:pPr>
        <w:pStyle w:val="Heading3"/>
      </w:pPr>
      <w:r>
        <w:t>Description</w:t>
      </w:r>
    </w:p>
    <w:p>
      <w:r>
        <w:t>A Next.js development server is running on ports 3000-3001 on a workstation. Dev servers often expose source maps, debug endpoints, and unauthenticated API routes.</w:t>
      </w:r>
    </w:p>
    <w:p>
      <w:pPr>
        <w:pStyle w:val="Heading3"/>
      </w:pPr>
      <w:r>
        <w:t>Remediation</w:t>
      </w:r>
    </w:p>
    <w:p>
      <w:r>
        <w:t>Bind dev servers to localhost only (127.0.0.1). Use production builds for shared network access.</w:t>
      </w:r>
    </w:p>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left w:val="single" w:sz="18" w:space="8" w:color="CC4141"/>
      </w:pBdr>
    </w:pPr>
    <w:rPr>
      <w:rFonts w:asciiTheme="majorHAnsi" w:eastAsiaTheme="majorEastAsia" w:hAnsiTheme="majorHAnsi" w:cstheme="majorBidi" w:ascii="Calibri" w:hAnsi="Calibri" w:eastAsia="Calibri"/>
      <w:b/>
      <w:bCs/>
      <w:color w:val="3333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CC41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