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SELNIKEL INDUSTRIAL BOILER COMMISSIONING GUIDE</w:t>
      </w:r>
    </w:p>
    <w:p>
      <w:r>
        <w:t>Site Installation, Electrical Verification &amp; Regulatory Standards | Revision: REV-01</w:t>
      </w:r>
    </w:p>
    <w:p>
      <w:pPr>
        <w:pStyle w:val="Heading2"/>
      </w:pPr>
      <w:r>
        <w:t>1. Pre-Commissioning Electrical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Terminal</w:t>
            </w:r>
          </w:p>
        </w:tc>
        <w:tc>
          <w:tcPr>
            <w:tcW w:type="dxa" w:w="2880"/>
          </w:tcPr>
          <w:p>
            <w:r>
              <w:t>Signal Type</w:t>
            </w:r>
          </w:p>
        </w:tc>
        <w:tc>
          <w:tcPr>
            <w:tcW w:type="dxa" w:w="2880"/>
          </w:tcPr>
          <w:p>
            <w:r>
              <w:t>Allowed Range</w:t>
            </w:r>
          </w:p>
        </w:tc>
      </w:tr>
      <w:tr>
        <w:tc>
          <w:tcPr>
            <w:tcW w:type="dxa" w:w="2880"/>
          </w:tcPr>
          <w:p>
            <w:r>
              <w:t>L1-L2-L3</w:t>
            </w:r>
          </w:p>
        </w:tc>
        <w:tc>
          <w:tcPr>
            <w:tcW w:type="dxa" w:w="2880"/>
          </w:tcPr>
          <w:p>
            <w:r>
              <w:t>Main Power</w:t>
            </w:r>
          </w:p>
        </w:tc>
        <w:tc>
          <w:tcPr>
            <w:tcW w:type="dxa" w:w="2880"/>
          </w:tcPr>
          <w:p>
            <w:r>
              <w:t>380 - 420 V</w:t>
            </w:r>
          </w:p>
        </w:tc>
      </w:tr>
      <w:tr>
        <w:tc>
          <w:tcPr>
            <w:tcW w:type="dxa" w:w="2880"/>
          </w:tcPr>
          <w:p>
            <w:r>
              <w:t>P1-P2</w:t>
            </w:r>
          </w:p>
        </w:tc>
        <w:tc>
          <w:tcPr>
            <w:tcW w:type="dxa" w:w="2880"/>
          </w:tcPr>
          <w:p>
            <w:r>
              <w:t>Pressure 4-20 mA</w:t>
            </w:r>
          </w:p>
        </w:tc>
        <w:tc>
          <w:tcPr>
            <w:tcW w:type="dxa" w:w="2880"/>
          </w:tcPr>
          <w:p>
            <w:r>
              <w:t>0.0 - 25.0 bar</w:t>
            </w:r>
          </w:p>
        </w:tc>
      </w:tr>
    </w:tbl>
    <w:p>
      <w:pPr>
        <w:pStyle w:val="Heading2"/>
      </w:pPr>
      <w:r>
        <w:t>2. Standards, Directives &amp; Regulatory Compliance</w:t>
      </w:r>
    </w:p>
    <w:p>
      <w:r>
        <w:t>All Selnikel industrial steam boilers and burner installations strictly comply with mandatory European harmonized standards:</w:t>
      </w:r>
    </w:p>
    <w:p>
      <w:r>
        <w:t>Shell Boilers Manufacturing Standard: EN 12953 for shell boilers design, safety and manufacturing requirements.</w:t>
      </w:r>
    </w:p>
    <w:p>
      <w:r>
        <w:t>Pressure Equipment Directive: PED 2014/68/EU Category IV conformity module H1 certification.</w:t>
      </w:r>
    </w:p>
    <w:p>
      <w:r>
        <w:t>Forced Draught Gas Burner Standard: EN 676 automatic forced draught burners for gaseous fuels.</w:t>
      </w:r>
    </w:p>
    <w:p>
      <w:r>
        <w:br w:type="page"/>
      </w:r>
    </w:p>
    <w:p>
      <w:pPr>
        <w:pStyle w:val="Heading2"/>
      </w:pPr>
      <w:r>
        <w:t>3. Flue Gas Emission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Emission Parameter</w:t>
            </w:r>
          </w:p>
        </w:tc>
        <w:tc>
          <w:tcPr>
            <w:tcW w:type="dxa" w:w="2880"/>
          </w:tcPr>
          <w:p>
            <w:r>
              <w:t>Natural Gas Limit</w:t>
            </w:r>
          </w:p>
        </w:tc>
        <w:tc>
          <w:tcPr>
            <w:tcW w:type="dxa" w:w="2880"/>
          </w:tcPr>
          <w:p>
            <w:r>
              <w:t>Light Oil Limit</w:t>
            </w:r>
          </w:p>
        </w:tc>
      </w:tr>
      <w:tr>
        <w:tc>
          <w:tcPr>
            <w:tcW w:type="dxa" w:w="2880"/>
          </w:tcPr>
          <w:p>
            <w:r>
              <w:t>CO Concentration</w:t>
            </w:r>
          </w:p>
        </w:tc>
        <w:tc>
          <w:tcPr>
            <w:tcW w:type="dxa" w:w="2880"/>
          </w:tcPr>
          <w:p>
            <w:r>
              <w:t>&lt; 50 mg/Nm³</w:t>
            </w:r>
          </w:p>
        </w:tc>
        <w:tc>
          <w:tcPr>
            <w:tcW w:type="dxa" w:w="2880"/>
          </w:tcPr>
          <w:p>
            <w:r>
              <w:t>&lt; 80 mg/Nm³</w:t>
            </w:r>
          </w:p>
        </w:tc>
      </w:tr>
      <w:tr>
        <w:tc>
          <w:tcPr>
            <w:tcW w:type="dxa" w:w="2880"/>
          </w:tcPr>
          <w:p>
            <w:r>
              <w:t>NOx Class III</w:t>
            </w:r>
          </w:p>
        </w:tc>
        <w:tc>
          <w:tcPr>
            <w:tcW w:type="dxa" w:w="2880"/>
          </w:tcPr>
          <w:p>
            <w:r>
              <w:t>&lt; 100 mg/kWh</w:t>
            </w:r>
          </w:p>
        </w:tc>
        <w:tc>
          <w:tcPr>
            <w:tcW w:type="dxa" w:w="2880"/>
          </w:tcPr>
          <w:p>
            <w:r>
              <w:t>&lt; 150 mg/kWh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