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left"/>
      </w:pPr>
      <w:r>
        <w:rPr>
          <w:rFonts w:ascii="Arial" w:cs="Arial" w:eastAsia="Arial" w:hAnsi="Arial"/>
          <w:b/>
          <w:bCs/>
          <w:sz w:val="44"/>
          <w:szCs w:val="44"/>
        </w:rPr>
        <w:t xml:space="preserve">AKS for the J&amp;J Multi-Agent Platform</w:t>
      </w:r>
    </w:p>
    <w:p>
      <w:pPr>
        <w:spacing w:after="80"/>
      </w:pPr>
      <w:r>
        <w:rPr>
          <w:rFonts w:ascii="Arial" w:cs="Arial" w:eastAsia="Arial" w:hAnsi="Arial"/>
          <w:i/>
          <w:iCs/>
          <w:color w:val="595959"/>
          <w:sz w:val="26"/>
          <w:szCs w:val="26"/>
        </w:rPr>
        <w:t xml:space="preserve">A technical reference for senior AI/ML interview preparation</w:t>
      </w:r>
    </w:p>
    <w:p>
      <w:pPr>
        <w:spacing w:after="360"/>
      </w:pPr>
      <w:r>
        <w:rPr>
          <w:rFonts w:ascii="Arial" w:cs="Arial" w:eastAsia="Arial" w:hAnsi="Arial"/>
          <w:color w:val="595959"/>
          <w:sz w:val="20"/>
          <w:szCs w:val="20"/>
        </w:rPr>
        <w:t xml:space="preserve">Multi-agent LLM platform on Azure Kubernetes Service · 5 specialist agents · 120 concurrent sessions · p95 &lt; 900ms</w:t>
      </w:r>
    </w:p>
    <w:p>
      <w:pPr>
        <w:pBdr>
          <w:bottom w:val="single" w:color="2E75B6" w:sz="6" w:space="1"/>
        </w:pBdr>
      </w:pPr>
    </w:p>
    <w:p>
      <w:pPr>
        <w:spacing w:after="100"/>
      </w:pPr>
    </w:p>
    <w:p>
      <w:pPr>
        <w:pStyle w:val="Heading1"/>
        <w:spacing w:after="180" w:before="360"/>
      </w:pPr>
      <w:r>
        <w:rPr>
          <w:rFonts w:ascii="Arial" w:cs="Arial" w:eastAsia="Arial" w:hAnsi="Arial"/>
          <w:b/>
          <w:bCs/>
          <w:sz w:val="32"/>
          <w:szCs w:val="32"/>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sz w:val="32"/>
          <w:szCs w:val="32"/>
        </w:rPr>
        <w:t xml:space="preserve">1. How a microservice runs on AKS</w:t>
      </w:r>
    </w:p>
    <w:p>
      <w:pPr>
        <w:spacing w:after="120" w:line="300"/>
      </w:pPr>
      <w:r>
        <w:rPr>
          <w:rFonts w:ascii="Arial" w:cs="Arial" w:eastAsia="Arial" w:hAnsi="Arial"/>
          <w:sz w:val="22"/>
          <w:szCs w:val="22"/>
        </w:rPr>
        <w:t xml:space="preserve">A microservice on AKS runs as a containerized workload orchestrated by Kubernetes, with Azure managing the control plane. This section walks the runtime model end-to-end and establishes the primitives the rest of the document refers back to.</w:t>
      </w:r>
    </w:p>
    <w:p>
      <w:pPr>
        <w:pStyle w:val="Heading2"/>
        <w:spacing w:after="140" w:before="280"/>
      </w:pPr>
      <w:r>
        <w:rPr>
          <w:rFonts w:ascii="Arial" w:cs="Arial" w:eastAsia="Arial" w:hAnsi="Arial"/>
          <w:b/>
          <w:bCs/>
          <w:sz w:val="26"/>
          <w:szCs w:val="26"/>
        </w:rPr>
        <w:t xml:space="preserve">1.1 Packaging and the registry</w:t>
      </w:r>
    </w:p>
    <w:p>
      <w:pPr>
        <w:spacing w:after="120" w:line="300"/>
      </w:pPr>
      <w:r>
        <w:rPr>
          <w:rFonts w:ascii="Arial" w:cs="Arial" w:eastAsia="Arial" w:hAnsi="Arial"/>
          <w:sz w:val="22"/>
          <w:szCs w:val="22"/>
        </w:rPr>
        <w:t xml:space="preserve">The service is packaged as a container image built from a Dockerfile and pushed to a registry, typically Azure Container Registry (ACR). The kubelet on each node pulls the image at pod start time. Authentication to ACR uses the cluster's managed identity (attached via `az aks update --attach-acr`), so no imagePullSecrets ride along with the manifests.</w:t>
      </w:r>
    </w:p>
    <w:p>
      <w:pPr>
        <w:pStyle w:val="Heading2"/>
        <w:spacing w:after="140" w:before="280"/>
      </w:pPr>
      <w:r>
        <w:rPr>
          <w:rFonts w:ascii="Arial" w:cs="Arial" w:eastAsia="Arial" w:hAnsi="Arial"/>
          <w:b/>
          <w:bCs/>
          <w:sz w:val="26"/>
          <w:szCs w:val="26"/>
        </w:rPr>
        <w:t xml:space="preserve">1.2 Manifests and the control plane</w:t>
      </w:r>
    </w:p>
    <w:p>
      <w:pPr>
        <w:spacing w:after="120" w:line="300"/>
      </w:pPr>
      <w:r>
        <w:rPr>
          <w:rFonts w:ascii="Arial" w:cs="Arial" w:eastAsia="Arial" w:hAnsi="Arial"/>
          <w:sz w:val="22"/>
          <w:szCs w:val="22"/>
        </w:rPr>
        <w:t xml:space="preserve">Kubernetes manifests describe desired state declaratively. The primary objects involved in a typical microservice are:</w:t>
      </w:r>
    </w:p>
    <w:p>
      <w:pPr>
        <w:pStyle w:val="ListParagraph"/>
        <w:numPr>
          <w:ilvl w:val="0"/>
          <w:numId w:val="2"/>
        </w:numPr>
        <w:spacing w:after="80" w:line="280"/>
      </w:pPr>
      <w:r>
        <w:rPr>
          <w:rFonts w:ascii="Arial" w:cs="Arial" w:eastAsia="Arial" w:hAnsi="Arial"/>
          <w:sz w:val="22"/>
          <w:szCs w:val="22"/>
        </w:rPr>
        <w:t xml:space="preserve">Deployment — pod template, replica count, rolling update strategy.</w:t>
      </w:r>
    </w:p>
    <w:p>
      <w:pPr>
        <w:pStyle w:val="ListParagraph"/>
        <w:numPr>
          <w:ilvl w:val="0"/>
          <w:numId w:val="2"/>
        </w:numPr>
        <w:spacing w:after="80" w:line="280"/>
      </w:pPr>
      <w:r>
        <w:rPr>
          <w:rFonts w:ascii="Arial" w:cs="Arial" w:eastAsia="Arial" w:hAnsi="Arial"/>
          <w:sz w:val="22"/>
          <w:szCs w:val="22"/>
        </w:rPr>
        <w:t xml:space="preserve">Service — stable virtual IP and cluster DNS name, load-balances across pod endpoints.</w:t>
      </w:r>
    </w:p>
    <w:p>
      <w:pPr>
        <w:pStyle w:val="ListParagraph"/>
        <w:numPr>
          <w:ilvl w:val="0"/>
          <w:numId w:val="2"/>
        </w:numPr>
        <w:spacing w:after="80" w:line="280"/>
      </w:pPr>
      <w:r>
        <w:rPr>
          <w:rFonts w:ascii="Arial" w:cs="Arial" w:eastAsia="Arial" w:hAnsi="Arial"/>
          <w:sz w:val="22"/>
          <w:szCs w:val="22"/>
        </w:rPr>
        <w:t xml:space="preserve">Ingress (or Gateway API) — north-south traffic, TLS termination, host/path routing.</w:t>
      </w:r>
    </w:p>
    <w:p>
      <w:pPr>
        <w:pStyle w:val="ListParagraph"/>
        <w:numPr>
          <w:ilvl w:val="0"/>
          <w:numId w:val="2"/>
        </w:numPr>
        <w:spacing w:after="80" w:line="280"/>
      </w:pPr>
      <w:r>
        <w:rPr>
          <w:rFonts w:ascii="Arial" w:cs="Arial" w:eastAsia="Arial" w:hAnsi="Arial"/>
          <w:sz w:val="22"/>
          <w:szCs w:val="22"/>
        </w:rPr>
        <w:t xml:space="preserve">ConfigMap and Secret — environment configuration and sensitive values.</w:t>
      </w:r>
    </w:p>
    <w:p>
      <w:pPr>
        <w:pStyle w:val="ListParagraph"/>
        <w:numPr>
          <w:ilvl w:val="0"/>
          <w:numId w:val="2"/>
        </w:numPr>
        <w:spacing w:after="80" w:line="280"/>
      </w:pPr>
      <w:r>
        <w:rPr>
          <w:rFonts w:ascii="Arial" w:cs="Arial" w:eastAsia="Arial" w:hAnsi="Arial"/>
          <w:sz w:val="22"/>
          <w:szCs w:val="22"/>
        </w:rPr>
        <w:t xml:space="preserve">ServiceAccount — pod identity, paired with Workload Identity for Azure RBAC.</w:t>
      </w:r>
    </w:p>
    <w:p>
      <w:pPr>
        <w:spacing w:after="120" w:line="300"/>
      </w:pPr>
      <w:r>
        <w:rPr>
          <w:rFonts w:ascii="Arial" w:cs="Arial" w:eastAsia="Arial" w:hAnsi="Arial"/>
          <w:sz w:val="22"/>
          <w:szCs w:val="22"/>
        </w:rPr>
        <w:t xml:space="preserve">Manifests are applied with kubectl directly or, in production, through a GitOps controller (Argo CD, Flux) or a CI/CD pipeline. The AKS control plane (API server, scheduler, controller manager, etcd) is managed by Azure; it is responsible for reconciling actual state to desired state continuously.</w:t>
      </w:r>
    </w:p>
    <w:p>
      <w:pPr>
        <w:pStyle w:val="Heading2"/>
        <w:spacing w:after="140" w:before="280"/>
      </w:pPr>
      <w:r>
        <w:rPr>
          <w:rFonts w:ascii="Arial" w:cs="Arial" w:eastAsia="Arial" w:hAnsi="Arial"/>
          <w:b/>
          <w:bCs/>
          <w:sz w:val="26"/>
          <w:szCs w:val="26"/>
        </w:rPr>
        <w:t xml:space="preserve">1.3 Scheduling, runtime, and networking</w:t>
      </w:r>
    </w:p>
    <w:p>
      <w:pPr>
        <w:spacing w:after="120" w:line="300"/>
      </w:pPr>
      <w:r>
        <w:rPr>
          <w:rFonts w:ascii="Arial" w:cs="Arial" w:eastAsia="Arial" w:hAnsi="Arial"/>
          <w:sz w:val="22"/>
          <w:szCs w:val="22"/>
        </w:rPr>
        <w:t xml:space="preserve">Once a Deployment is applied, the scheduler places pods onto worker nodes in a node pool (each node pool is a VM Scale Set under the hood). The kubelet pulls the image and starts the container via containerd (the runtime on modern AKS — Docker is no longer used). Each pod receives its own IP from the CNI plugin: Azure CNI assigns pods routable VNet IPs, Azure CNI Overlay (the common default for new clusters) uses an overlay address space, and kubenet is legacy.</w:t>
      </w:r>
    </w:p>
    <w:p>
      <w:pPr>
        <w:spacing w:after="120" w:line="300"/>
      </w:pPr>
      <w:r>
        <w:rPr>
          <w:rFonts w:ascii="Arial" w:cs="Arial" w:eastAsia="Arial" w:hAnsi="Arial"/>
          <w:sz w:val="22"/>
          <w:szCs w:val="22"/>
        </w:rPr>
        <w:t xml:space="preserve">Internal service-to-service traffic flows through the Service object: kube-proxy programs iptables or IPVS rules on every node, load-balancing to live endpoints discovered via the Endpoints / EndpointSlice API. External traffic enters through the Ingress controller — typically NGINX or the Application Gateway Ingress Controller (AGIC), increasingly the Application Gateway for Containers under the Gateway API.</w:t>
      </w:r>
    </w:p>
    <w:p>
      <w:pPr>
        <w:pStyle w:val="Heading2"/>
        <w:spacing w:after="140" w:before="280"/>
      </w:pPr>
      <w:r>
        <w:rPr>
          <w:rFonts w:ascii="Arial" w:cs="Arial" w:eastAsia="Arial" w:hAnsi="Arial"/>
          <w:b/>
          <w:bCs/>
          <w:sz w:val="26"/>
          <w:szCs w:val="26"/>
        </w:rPr>
        <w:t xml:space="preserve">1.4 Identity, scaling, observability, and rollout</w:t>
      </w:r>
    </w:p>
    <w:p>
      <w:pPr>
        <w:spacing w:after="120" w:line="300"/>
      </w:pPr>
      <w:r>
        <w:rPr>
          <w:rFonts w:ascii="Arial" w:cs="Arial" w:eastAsia="Arial" w:hAnsi="Arial"/>
          <w:sz w:val="22"/>
          <w:szCs w:val="22"/>
        </w:rPr>
        <w:t xml:space="preserve">Four cross-cutting concerns matter in any production microservice deployment:</w:t>
      </w:r>
    </w:p>
    <w:p>
      <w:pPr>
        <w:pStyle w:val="ListParagraph"/>
        <w:numPr>
          <w:ilvl w:val="0"/>
          <w:numId w:val="2"/>
        </w:numPr>
        <w:spacing w:after="80" w:line="280"/>
      </w:pPr>
      <w:r>
        <w:rPr>
          <w:rFonts w:ascii="Arial" w:cs="Arial" w:eastAsia="Arial" w:hAnsi="Arial"/>
          <w:b/>
          <w:bCs/>
          <w:sz w:val="22"/>
          <w:szCs w:val="22"/>
        </w:rPr>
        <w:t xml:space="preserve">Identity. </w:t>
      </w:r>
      <w:r>
        <w:rPr>
          <w:rFonts w:ascii="Arial" w:cs="Arial" w:eastAsia="Arial" w:hAnsi="Arial"/>
          <w:sz w:val="22"/>
          <w:szCs w:val="22"/>
        </w:rPr>
        <w:t xml:space="preserve">Workload Identity (the federated successor to AAD Pod Identity, which is deprecated) maps a Kubernetes ServiceAccount to an Azure AD application via OIDC federation. The pod can call Key Vault, Cosmos DB, Storage, Azure OpenAI, and so on without any static secret.</w:t>
      </w:r>
    </w:p>
    <w:p>
      <w:pPr>
        <w:pStyle w:val="ListParagraph"/>
        <w:numPr>
          <w:ilvl w:val="0"/>
          <w:numId w:val="2"/>
        </w:numPr>
        <w:spacing w:after="80" w:line="280"/>
      </w:pPr>
      <w:r>
        <w:rPr>
          <w:rFonts w:ascii="Arial" w:cs="Arial" w:eastAsia="Arial" w:hAnsi="Arial"/>
          <w:b/>
          <w:bCs/>
          <w:sz w:val="22"/>
          <w:szCs w:val="22"/>
        </w:rPr>
        <w:t xml:space="preserve">Scaling. </w:t>
      </w:r>
      <w:r>
        <w:rPr>
          <w:rFonts w:ascii="Arial" w:cs="Arial" w:eastAsia="Arial" w:hAnsi="Arial"/>
          <w:sz w:val="22"/>
          <w:szCs w:val="22"/>
        </w:rPr>
        <w:t xml:space="preserve">Horizontal Pod Autoscaler (HPA) scales on CPU/memory or custom metrics. KEDA scales on event sources (queue depth, Service Bus, Event Hubs). Cluster Autoscaler adds and removes nodes when pods cannot be scheduled.</w:t>
      </w:r>
    </w:p>
    <w:p>
      <w:pPr>
        <w:pStyle w:val="ListParagraph"/>
        <w:numPr>
          <w:ilvl w:val="0"/>
          <w:numId w:val="2"/>
        </w:numPr>
        <w:spacing w:after="80" w:line="280"/>
      </w:pPr>
      <w:r>
        <w:rPr>
          <w:rFonts w:ascii="Arial" w:cs="Arial" w:eastAsia="Arial" w:hAnsi="Arial"/>
          <w:b/>
          <w:bCs/>
          <w:sz w:val="22"/>
          <w:szCs w:val="22"/>
        </w:rPr>
        <w:t xml:space="preserve">Observability. </w:t>
      </w:r>
      <w:r>
        <w:rPr>
          <w:rFonts w:ascii="Arial" w:cs="Arial" w:eastAsia="Arial" w:hAnsi="Arial"/>
          <w:sz w:val="22"/>
          <w:szCs w:val="22"/>
        </w:rPr>
        <w:t xml:space="preserve">Container Insights collects logs and metrics into Log Analytics. Azure Managed Prometheus + Managed Grafana cover the metrics side. OpenTelemetry SDKs export traces to App Insights or a collector for further fan-out.</w:t>
      </w:r>
    </w:p>
    <w:p>
      <w:pPr>
        <w:pStyle w:val="ListParagraph"/>
        <w:numPr>
          <w:ilvl w:val="0"/>
          <w:numId w:val="2"/>
        </w:numPr>
        <w:spacing w:after="80" w:line="280"/>
      </w:pPr>
      <w:r>
        <w:rPr>
          <w:rFonts w:ascii="Arial" w:cs="Arial" w:eastAsia="Arial" w:hAnsi="Arial"/>
          <w:b/>
          <w:bCs/>
          <w:sz w:val="22"/>
          <w:szCs w:val="22"/>
        </w:rPr>
        <w:t xml:space="preserve">Health and rollout. </w:t>
      </w:r>
      <w:r>
        <w:rPr>
          <w:rFonts w:ascii="Arial" w:cs="Arial" w:eastAsia="Arial" w:hAnsi="Arial"/>
          <w:sz w:val="22"/>
          <w:szCs w:val="22"/>
        </w:rPr>
        <w:t xml:space="preserve">Liveness, readiness, and startup probes gate traffic and restarts. Deployments perform rolling updates governed by maxSurge and maxUnavailable. For higher-stakes rollouts, Argo Rollouts or Flagger layer canary and blue-green patterns on top (see Section 4).</w:t>
      </w:r>
    </w:p>
    <w:p>
      <w:pPr>
        <w:spacing w:after="120" w:line="300"/>
      </w:pPr>
      <w:r>
        <w:rPr>
          <w:rFonts w:ascii="Arial" w:cs="Arial" w:eastAsia="Arial" w:hAnsi="Arial"/>
          <w:sz w:val="22"/>
          <w:szCs w:val="22"/>
        </w:rPr>
        <w:t xml:space="preserve">Put together: a microservice on AKS is a set of containers in pods that the scheduler places on managed VM nodes, with Services and Ingress for traffic, Workload Identity for Azure access, and HPA/KEDA/Cluster Autoscaler for elasticity. Everything is declarative and continuously reconciled.</w:t>
      </w:r>
    </w:p>
    <w:p>
      <w:r>
        <w:br w:type="page"/>
      </w:r>
    </w:p>
    <w:p>
      <w:pPr>
        <w:pStyle w:val="Heading1"/>
        <w:spacing w:after="180" w:before="360"/>
      </w:pPr>
      <w:r>
        <w:rPr>
          <w:rFonts w:ascii="Arial" w:cs="Arial" w:eastAsia="Arial" w:hAnsi="Arial"/>
          <w:b/>
          <w:bCs/>
          <w:sz w:val="32"/>
          <w:szCs w:val="32"/>
        </w:rPr>
        <w:t xml:space="preserve">2. The J&amp;J platform mapped to AKS primitives</w:t>
      </w:r>
    </w:p>
    <w:p>
      <w:pPr>
        <w:spacing w:after="120" w:line="300"/>
      </w:pPr>
      <w:r>
        <w:rPr>
          <w:rFonts w:ascii="Arial" w:cs="Arial" w:eastAsia="Arial" w:hAnsi="Arial"/>
          <w:sz w:val="22"/>
          <w:szCs w:val="22"/>
        </w:rPr>
        <w:t xml:space="preserve">Each logical component of the multi-agent platform lands on a specific Kubernetes or Azure primitive. This section walks the mapping for the orchestrator, the five specialist agents, the tool layer, the vector store, the observability stack, and the supporting plumbing.</w:t>
      </w:r>
    </w:p>
    <w:p>
      <w:pPr>
        <w:pStyle w:val="Heading2"/>
        <w:spacing w:after="140" w:before="280"/>
      </w:pPr>
      <w:r>
        <w:rPr>
          <w:rFonts w:ascii="Arial" w:cs="Arial" w:eastAsia="Arial" w:hAnsi="Arial"/>
          <w:b/>
          <w:bCs/>
          <w:sz w:val="26"/>
          <w:szCs w:val="26"/>
        </w:rPr>
        <w:t xml:space="preserve">2.1 Orchestrator (LLM-as-Orchestrator meta-agent)</w:t>
      </w:r>
    </w:p>
    <w:p>
      <w:pPr>
        <w:spacing w:after="120" w:line="300"/>
      </w:pPr>
      <w:r>
        <w:rPr>
          <w:rFonts w:ascii="Arial" w:cs="Arial" w:eastAsia="Arial" w:hAnsi="Arial"/>
          <w:sz w:val="22"/>
          <w:szCs w:val="22"/>
        </w:rPr>
        <w:t xml:space="preserve">A Deployment running a FastAPI service with the OpenAI/Agents SDK runtime, typically 3–5 replicas to absorb 120 concurrent sessions with headroom. The Deployment is fronted by a ClusterIP Service and exposed externally through an Ingress (NGINX or AGIC) that terminates TLS, validates auth headers from Entra ID, and routes traffic to the chat UI and the /chat streaming endpoint.</w:t>
      </w:r>
    </w:p>
    <w:p>
      <w:pPr>
        <w:spacing w:after="120" w:line="300"/>
      </w:pPr>
      <w:r>
        <w:rPr>
          <w:rFonts w:ascii="Arial" w:cs="Arial" w:eastAsia="Arial" w:hAnsi="Arial"/>
          <w:sz w:val="22"/>
          <w:szCs w:val="22"/>
        </w:rPr>
        <w:t xml:space="preserve">Because responses stream tokens over SSE or WebSocket, the Ingress is configured with sticky sessions (cookie-affinity) and longer read timeouts. Scaling uses HPA on CPU plus a custom metric such as active sessions or in-flight token requests; pure CPU is a poor proxy for LLM-bound workloads, so KEDA on queue depth or external metrics is often layered on.</w:t>
      </w:r>
    </w:p>
    <w:p>
      <w:pPr>
        <w:pStyle w:val="Heading2"/>
        <w:spacing w:after="140" w:before="280"/>
      </w:pPr>
      <w:r>
        <w:rPr>
          <w:rFonts w:ascii="Arial" w:cs="Arial" w:eastAsia="Arial" w:hAnsi="Arial"/>
          <w:b/>
          <w:bCs/>
          <w:sz w:val="26"/>
          <w:szCs w:val="26"/>
        </w:rPr>
        <w:t xml:space="preserve">2.2 Specialist agents (Knowledge, Ontology, Drug Safety, QA, Summarization)</w:t>
      </w:r>
    </w:p>
    <w:p>
      <w:pPr>
        <w:spacing w:after="120" w:line="300"/>
      </w:pPr>
      <w:r>
        <w:rPr>
          <w:rFonts w:ascii="Arial" w:cs="Arial" w:eastAsia="Arial" w:hAnsi="Arial"/>
          <w:sz w:val="22"/>
          <w:szCs w:val="22"/>
        </w:rPr>
        <w:t xml:space="preserve">Given the LLM-as-Orchestrator pattern, the five agents run in-process within the orchestrator's Deployment — async Python coroutines that GPT-4o invokes via planning and fan-out, not separate pods. This keeps agent-to-agent (A2A) hops in memory and avoids the operational overhead of five extra Deployments.</w:t>
      </w:r>
    </w:p>
    <w:p>
      <w:pPr>
        <w:spacing w:after="120" w:line="300"/>
      </w:pPr>
      <w:r>
        <w:rPr>
          <w:rFonts w:ascii="Arial" w:cs="Arial" w:eastAsia="Arial" w:hAnsi="Arial"/>
          <w:sz w:val="22"/>
          <w:szCs w:val="22"/>
        </w:rPr>
        <w:t xml:space="preserve">The trade-off is a shared blast radius: an unhandled exception or OOM in one agent's tool execution can take the pod down. The textbook A2A alternative is each agent as its own Deployment + Service, with mTLS via a service mesh (Istio, Linkerd). That pattern is worth knowing for interview framing even when it is not the chosen deployment topology.</w:t>
      </w:r>
    </w:p>
    <w:p>
      <w:pPr>
        <w:spacing w:after="80" w:before="120"/>
      </w:pPr>
      <w:r>
        <w:rPr>
          <w:rFonts w:ascii="Arial" w:cs="Arial" w:eastAsia="Arial" w:hAnsi="Arial"/>
          <w:i/>
          <w:iCs/>
          <w:color w:val="595959"/>
          <w:sz w:val="22"/>
          <w:szCs w:val="22"/>
        </w:rPr>
        <w:t xml:space="preserve">Comparison: in-process agents vs. A2A microservice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FBFBF" w:sz="4"/>
              <w:left w:val="single" w:color="BFBFBF" w:sz="4"/>
              <w:bottom w:val="single" w:color="BFBFBF" w:sz="4"/>
              <w:right w:val="single" w:color="BFBFBF" w:sz="4"/>
            </w:tcBorders>
            <w:shd w:fill="E8E2D5" w:val="clear"/>
            <w:tcMar>
              <w:top w:type="dxa" w:w="100"/>
              <w:left w:type="dxa" w:w="140"/>
              <w:bottom w:type="dxa" w:w="100"/>
              <w:right w:type="dxa" w:w="140"/>
            </w:tcMar>
          </w:tcPr>
          <w:p>
            <w:pPr>
              <w:spacing w:after="0" w:line="260"/>
            </w:pPr>
            <w:r>
              <w:rPr>
                <w:rFonts w:ascii="Arial" w:cs="Arial" w:eastAsia="Arial" w:hAnsi="Arial"/>
                <w:b/>
                <w:bCs/>
                <w:sz w:val="22"/>
                <w:szCs w:val="22"/>
              </w:rPr>
              <w:t xml:space="preserve">Concern</w:t>
            </w:r>
          </w:p>
        </w:tc>
        <w:tc>
          <w:tcPr>
            <w:tcW w:type="dxa" w:w="3580"/>
            <w:tcBorders>
              <w:top w:val="single" w:color="BFBFBF" w:sz="4"/>
              <w:left w:val="single" w:color="BFBFBF" w:sz="4"/>
              <w:bottom w:val="single" w:color="BFBFBF" w:sz="4"/>
              <w:right w:val="single" w:color="BFBFBF" w:sz="4"/>
            </w:tcBorders>
            <w:shd w:fill="E8E2D5" w:val="clear"/>
            <w:tcMar>
              <w:top w:type="dxa" w:w="100"/>
              <w:left w:type="dxa" w:w="140"/>
              <w:bottom w:type="dxa" w:w="100"/>
              <w:right w:type="dxa" w:w="140"/>
            </w:tcMar>
          </w:tcPr>
          <w:p>
            <w:pPr>
              <w:spacing w:after="0" w:line="260"/>
            </w:pPr>
            <w:r>
              <w:rPr>
                <w:rFonts w:ascii="Arial" w:cs="Arial" w:eastAsia="Arial" w:hAnsi="Arial"/>
                <w:b/>
                <w:bCs/>
                <w:sz w:val="22"/>
                <w:szCs w:val="22"/>
              </w:rPr>
              <w:t xml:space="preserve">In-process (current)</w:t>
            </w:r>
          </w:p>
        </w:tc>
        <w:tc>
          <w:tcPr>
            <w:tcW w:type="dxa" w:w="3580"/>
            <w:tcBorders>
              <w:top w:val="single" w:color="BFBFBF" w:sz="4"/>
              <w:left w:val="single" w:color="BFBFBF" w:sz="4"/>
              <w:bottom w:val="single" w:color="BFBFBF" w:sz="4"/>
              <w:right w:val="single" w:color="BFBFBF" w:sz="4"/>
            </w:tcBorders>
            <w:shd w:fill="E8E2D5" w:val="clear"/>
            <w:tcMar>
              <w:top w:type="dxa" w:w="100"/>
              <w:left w:type="dxa" w:w="140"/>
              <w:bottom w:type="dxa" w:w="100"/>
              <w:right w:type="dxa" w:w="140"/>
            </w:tcMar>
          </w:tcPr>
          <w:p>
            <w:pPr>
              <w:spacing w:after="0" w:line="260"/>
            </w:pPr>
            <w:r>
              <w:rPr>
                <w:rFonts w:ascii="Arial" w:cs="Arial" w:eastAsia="Arial" w:hAnsi="Arial"/>
                <w:b/>
                <w:bCs/>
                <w:sz w:val="22"/>
                <w:szCs w:val="22"/>
              </w:rPr>
              <w:t xml:space="preserve">A2A microservices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Deployment surface</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1 Deployment</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5+ Deployments + Services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Inter-agent latency</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Function-call (sub-ms)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Network hop (1–5 ms via mesh)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Failure isolation</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Shared pod blast radius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Per-agent isolation, per-agent SLO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Independent scaling</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Not possible — scale the pod</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Yes — HPA per agent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Polyglot agents</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Single runtime (Python)</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Any language per agent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Operational tax</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Low</w:t>
            </w:r>
          </w:p>
        </w:tc>
        <w:tc>
          <w:tcPr>
            <w:tcW w:type="dxa" w:w="35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High — mesh, certs, dashboards × N</w:t>
            </w:r>
          </w:p>
        </w:tc>
      </w:tr>
    </w:tbl>
    <w:p>
      <w:pPr>
        <w:spacing w:after="100"/>
      </w:pPr>
    </w:p>
    <w:p>
      <w:pPr>
        <w:pStyle w:val="Heading2"/>
        <w:spacing w:after="140" w:before="280"/>
      </w:pPr>
      <w:r>
        <w:rPr>
          <w:rFonts w:ascii="Arial" w:cs="Arial" w:eastAsia="Arial" w:hAnsi="Arial"/>
          <w:b/>
          <w:bCs/>
          <w:sz w:val="26"/>
          <w:szCs w:val="26"/>
        </w:rPr>
        <w:t xml:space="preserve">2.3 Tools — the 5 hard external-I/O calls</w:t>
      </w:r>
    </w:p>
    <w:p>
      <w:pPr>
        <w:spacing w:after="120" w:line="300"/>
      </w:pPr>
      <w:r>
        <w:rPr>
          <w:rFonts w:ascii="Arial" w:cs="Arial" w:eastAsia="Arial" w:hAnsi="Arial"/>
          <w:sz w:val="22"/>
          <w:szCs w:val="22"/>
        </w:rPr>
        <w:t xml:space="preserve">These cross pod boundaries. The vector search tool calls Azure AI Search (managed, no Kubernetes footprint — a network endpoint reached over the VNet via Private Endpoint). Ontology lookups (MeSH/UMLS), drug safety queries, and document/citation fetches each resolve to either a managed Azure service (Blob Storage, Cosmos DB) or a small internal microservice (Deployment + ClusterIP) wrapping reference data.</w:t>
      </w:r>
    </w:p>
    <w:p>
      <w:pPr>
        <w:spacing w:after="120" w:line="300"/>
      </w:pPr>
      <w:r>
        <w:rPr>
          <w:rFonts w:ascii="Arial" w:cs="Arial" w:eastAsia="Arial" w:hAnsi="Arial"/>
          <w:sz w:val="22"/>
          <w:szCs w:val="22"/>
        </w:rPr>
        <w:t xml:space="preserve">All five hops authenticate via Workload Identity. The orchestrator's ServiceAccount is federated to an AAD app with scoped RBAC on each target resource. No static secrets exist in the cluster.</w:t>
      </w:r>
    </w:p>
    <w:p>
      <w:pPr>
        <w:pStyle w:val="Heading2"/>
        <w:spacing w:after="140" w:before="280"/>
      </w:pPr>
      <w:r>
        <w:rPr>
          <w:rFonts w:ascii="Arial" w:cs="Arial" w:eastAsia="Arial" w:hAnsi="Arial"/>
          <w:b/>
          <w:bCs/>
          <w:sz w:val="26"/>
          <w:szCs w:val="26"/>
        </w:rPr>
        <w:t xml:space="preserve">2.4 Vector store</w:t>
      </w:r>
    </w:p>
    <w:p>
      <w:pPr>
        <w:spacing w:after="120" w:line="300"/>
      </w:pPr>
      <w:r>
        <w:rPr>
          <w:rFonts w:ascii="Arial" w:cs="Arial" w:eastAsia="Arial" w:hAnsi="Arial"/>
          <w:sz w:val="22"/>
          <w:szCs w:val="22"/>
        </w:rPr>
        <w:t xml:space="preserve">For 10,000+ biomedical documents at p95 &lt; 900 ms, Azure AI Search with HNSW + hybrid (BM25 + vector) is the natural fit and has zero Kubernetes presence. Index management runs as a CronJob or Argo Workflow that re-embeds and upserts on a schedule.</w:t>
      </w:r>
    </w:p>
    <w:p>
      <w:pPr>
        <w:spacing w:after="120" w:line="300"/>
      </w:pPr>
      <w:r>
        <w:rPr>
          <w:rFonts w:ascii="Arial" w:cs="Arial" w:eastAsia="Arial" w:hAnsi="Arial"/>
          <w:sz w:val="22"/>
          <w:szCs w:val="22"/>
        </w:rPr>
        <w:t xml:space="preserve">If self-hosted (Qdrant, Weaviate, Milvus, pgvector on Postgres), the topology becomes a StatefulSet with PersistentVolumeClaims backed by Premium SSD Azure Disks, a headless Service for stable per-replica DNS, and Velero or disk-snapshot CronJobs for backup.</w:t>
      </w:r>
    </w:p>
    <w:p>
      <w:pPr>
        <w:pStyle w:val="Heading2"/>
        <w:spacing w:after="140" w:before="280"/>
      </w:pPr>
      <w:r>
        <w:rPr>
          <w:rFonts w:ascii="Arial" w:cs="Arial" w:eastAsia="Arial" w:hAnsi="Arial"/>
          <w:b/>
          <w:bCs/>
          <w:sz w:val="26"/>
          <w:szCs w:val="26"/>
        </w:rPr>
        <w:t xml:space="preserve">2.5 Observability stack</w:t>
      </w:r>
    </w:p>
    <w:p>
      <w:pPr>
        <w:spacing w:after="120" w:line="300"/>
      </w:pPr>
      <w:r>
        <w:rPr>
          <w:rFonts w:ascii="Arial" w:cs="Arial" w:eastAsia="Arial" w:hAnsi="Arial"/>
          <w:sz w:val="22"/>
          <w:szCs w:val="22"/>
        </w:rPr>
        <w:t xml:space="preserve">The OpenTelemetry Collector runs as a gateway Deployment — a single ingest point for trace, log, and metric pipelines. This is easier to manage for correlation-ID enrichment than a per-node DaemonSet. The orchestrator and any tool microservices export OTLP to it; the collector fans out to:</w:t>
      </w:r>
    </w:p>
    <w:p>
      <w:pPr>
        <w:pStyle w:val="ListParagraph"/>
        <w:numPr>
          <w:ilvl w:val="0"/>
          <w:numId w:val="2"/>
        </w:numPr>
        <w:spacing w:after="80" w:line="280"/>
      </w:pPr>
      <w:r>
        <w:rPr>
          <w:rFonts w:ascii="Arial" w:cs="Arial" w:eastAsia="Arial" w:hAnsi="Arial"/>
          <w:sz w:val="22"/>
          <w:szCs w:val="22"/>
        </w:rPr>
        <w:t xml:space="preserve">Application Insights — traces and custom events.</w:t>
      </w:r>
    </w:p>
    <w:p>
      <w:pPr>
        <w:pStyle w:val="ListParagraph"/>
        <w:numPr>
          <w:ilvl w:val="0"/>
          <w:numId w:val="2"/>
        </w:numPr>
        <w:spacing w:after="80" w:line="280"/>
      </w:pPr>
      <w:r>
        <w:rPr>
          <w:rFonts w:ascii="Arial" w:cs="Arial" w:eastAsia="Arial" w:hAnsi="Arial"/>
          <w:sz w:val="22"/>
          <w:szCs w:val="22"/>
        </w:rPr>
        <w:t xml:space="preserve">Azure Managed Prometheus — metrics, scraped via ServiceMonitor CRDs.</w:t>
      </w:r>
    </w:p>
    <w:p>
      <w:pPr>
        <w:pStyle w:val="ListParagraph"/>
        <w:numPr>
          <w:ilvl w:val="0"/>
          <w:numId w:val="2"/>
        </w:numPr>
        <w:spacing w:after="80" w:line="280"/>
      </w:pPr>
      <w:r>
        <w:rPr>
          <w:rFonts w:ascii="Arial" w:cs="Arial" w:eastAsia="Arial" w:hAnsi="Arial"/>
          <w:sz w:val="22"/>
          <w:szCs w:val="22"/>
        </w:rPr>
        <w:t xml:space="preserve">Log Analytics via Container Insights — container stdout/stderr.</w:t>
      </w:r>
    </w:p>
    <w:p>
      <w:pPr>
        <w:spacing w:after="120" w:line="300"/>
      </w:pPr>
      <w:r>
        <w:rPr>
          <w:rFonts w:ascii="Arial" w:cs="Arial" w:eastAsia="Arial" w:hAnsi="Arial"/>
          <w:sz w:val="22"/>
          <w:szCs w:val="22"/>
        </w:rPr>
        <w:t xml:space="preserve">Cosmos DB audit logs are written directly from the orchestrator using the async SDK — a managed service, no Kubernetes primitive needed. Azure Managed Grafana sits on top of both Prometheus and App Insights as a single pane.</w:t>
      </w:r>
    </w:p>
    <w:p>
      <w:pPr>
        <w:pStyle w:val="Heading2"/>
        <w:spacing w:after="140" w:before="280"/>
      </w:pPr>
      <w:r>
        <w:rPr>
          <w:rFonts w:ascii="Arial" w:cs="Arial" w:eastAsia="Arial" w:hAnsi="Arial"/>
          <w:b/>
          <w:bCs/>
          <w:sz w:val="26"/>
          <w:szCs w:val="26"/>
        </w:rPr>
        <w:t xml:space="preserve">2.6 Supporting plumbing</w:t>
      </w:r>
    </w:p>
    <w:p>
      <w:pPr>
        <w:spacing w:after="120" w:line="300"/>
      </w:pPr>
      <w:r>
        <w:rPr>
          <w:rFonts w:ascii="Arial" w:cs="Arial" w:eastAsia="Arial" w:hAnsi="Arial"/>
          <w:sz w:val="22"/>
          <w:szCs w:val="22"/>
        </w:rPr>
        <w:t xml:space="preserve">Session state and the token-streaming buffer live in Azure Cache for Redis (managed; the self-hosted alternative is a Redis StatefulSet). Secrets — Azure OpenAI keys, Cosmos connection strings, embedding endpoint keys — live in Key Vault and are projected into pods via the Secrets Store CSI Driver, appearing as files on a tmpfs mount and rotating without restarts. Images come from ACR with managed-identity pulls. Non-sensitive configuration (model names, agent prompts, feature flags) lives in ConfigMaps, templated by Helm or Kustomize per environment.</w:t>
      </w:r>
    </w:p>
    <w:p>
      <w:r>
        <w:br w:type="page"/>
      </w:r>
    </w:p>
    <w:p>
      <w:pPr>
        <w:pStyle w:val="Heading1"/>
        <w:spacing w:after="180" w:before="360"/>
      </w:pPr>
      <w:r>
        <w:rPr>
          <w:rFonts w:ascii="Arial" w:cs="Arial" w:eastAsia="Arial" w:hAnsi="Arial"/>
          <w:b/>
          <w:bCs/>
          <w:sz w:val="32"/>
          <w:szCs w:val="32"/>
        </w:rPr>
        <w:t xml:space="preserve">3. Request flow: one end-to-end trace</w:t>
      </w:r>
    </w:p>
    <w:p>
      <w:pPr>
        <w:spacing w:after="120" w:line="300"/>
      </w:pPr>
      <w:r>
        <w:rPr>
          <w:rFonts w:ascii="Arial" w:cs="Arial" w:eastAsia="Arial" w:hAnsi="Arial"/>
          <w:sz w:val="22"/>
          <w:szCs w:val="22"/>
        </w:rPr>
        <w:t xml:space="preserve">A useful sanity check is to trace one request through the platform. Consider a biomedical scientist asking: “What is the latest pharmacovigilance signal for drug X?”</w:t>
      </w:r>
    </w:p>
    <w:p>
      <w:pPr>
        <w:pStyle w:val="ListParagraph"/>
        <w:numPr>
          <w:ilvl w:val="0"/>
          <w:numId w:val="2"/>
        </w:numPr>
        <w:spacing w:after="80" w:line="280"/>
      </w:pPr>
      <w:r>
        <w:rPr>
          <w:rFonts w:ascii="Arial" w:cs="Arial" w:eastAsia="Arial" w:hAnsi="Arial"/>
          <w:sz w:val="22"/>
          <w:szCs w:val="22"/>
        </w:rPr>
        <w:t xml:space="preserve">TLS terminates at Ingress (NGINX / AGIC); the request is routed to an orchestrator pod with sticky session for streaming.</w:t>
      </w:r>
    </w:p>
    <w:p>
      <w:pPr>
        <w:pStyle w:val="ListParagraph"/>
        <w:numPr>
          <w:ilvl w:val="0"/>
          <w:numId w:val="2"/>
        </w:numPr>
        <w:spacing w:after="80" w:line="280"/>
      </w:pPr>
      <w:r>
        <w:rPr>
          <w:rFonts w:ascii="Arial" w:cs="Arial" w:eastAsia="Arial" w:hAnsi="Arial"/>
          <w:sz w:val="22"/>
          <w:szCs w:val="22"/>
        </w:rPr>
        <w:t xml:space="preserve">GPT-4o running in the orchestrator plans the response, identifies retrieval and enrichment needs.</w:t>
      </w:r>
    </w:p>
    <w:p>
      <w:pPr>
        <w:pStyle w:val="ListParagraph"/>
        <w:numPr>
          <w:ilvl w:val="0"/>
          <w:numId w:val="2"/>
        </w:numPr>
        <w:spacing w:after="80" w:line="280"/>
      </w:pPr>
      <w:r>
        <w:rPr>
          <w:rFonts w:ascii="Arial" w:cs="Arial" w:eastAsia="Arial" w:hAnsi="Arial"/>
          <w:sz w:val="22"/>
          <w:szCs w:val="22"/>
        </w:rPr>
        <w:t xml:space="preserve">The Knowledge agent (in-process) fires the vector-search tool against Azure AI Search; results return as ranked passages with citations.</w:t>
      </w:r>
    </w:p>
    <w:p>
      <w:pPr>
        <w:pStyle w:val="ListParagraph"/>
        <w:numPr>
          <w:ilvl w:val="0"/>
          <w:numId w:val="2"/>
        </w:numPr>
        <w:spacing w:after="80" w:line="280"/>
      </w:pPr>
      <w:r>
        <w:rPr>
          <w:rFonts w:ascii="Arial" w:cs="Arial" w:eastAsia="Arial" w:hAnsi="Arial"/>
          <w:sz w:val="22"/>
          <w:szCs w:val="22"/>
        </w:rPr>
        <w:t xml:space="preserve">The Drug Safety agent enriches with structured lookups (signal databases, regulatory references), invoking a separate tool call.</w:t>
      </w:r>
    </w:p>
    <w:p>
      <w:pPr>
        <w:pStyle w:val="ListParagraph"/>
        <w:numPr>
          <w:ilvl w:val="0"/>
          <w:numId w:val="2"/>
        </w:numPr>
        <w:spacing w:after="80" w:line="280"/>
      </w:pPr>
      <w:r>
        <w:rPr>
          <w:rFonts w:ascii="Arial" w:cs="Arial" w:eastAsia="Arial" w:hAnsi="Arial"/>
          <w:sz w:val="22"/>
          <w:szCs w:val="22"/>
        </w:rPr>
        <w:t xml:space="preserve">The Ontology agent normalizes biomedical terms via a MeSH/UMLS lookup tool.</w:t>
      </w:r>
    </w:p>
    <w:p>
      <w:pPr>
        <w:pStyle w:val="ListParagraph"/>
        <w:numPr>
          <w:ilvl w:val="0"/>
          <w:numId w:val="2"/>
        </w:numPr>
        <w:spacing w:after="80" w:line="280"/>
      </w:pPr>
      <w:r>
        <w:rPr>
          <w:rFonts w:ascii="Arial" w:cs="Arial" w:eastAsia="Arial" w:hAnsi="Arial"/>
          <w:sz w:val="22"/>
          <w:szCs w:val="22"/>
        </w:rPr>
        <w:t xml:space="preserve">The Summarization agent composes the answer, integrating retrieved content and enriched data with proper attribution.</w:t>
      </w:r>
    </w:p>
    <w:p>
      <w:pPr>
        <w:pStyle w:val="ListParagraph"/>
        <w:numPr>
          <w:ilvl w:val="0"/>
          <w:numId w:val="2"/>
        </w:numPr>
        <w:spacing w:after="80" w:line="280"/>
      </w:pPr>
      <w:r>
        <w:rPr>
          <w:rFonts w:ascii="Arial" w:cs="Arial" w:eastAsia="Arial" w:hAnsi="Arial"/>
          <w:sz w:val="22"/>
          <w:szCs w:val="22"/>
        </w:rPr>
        <w:t xml:space="preserve">Response tokens stream back through Ingress to the user.</w:t>
      </w:r>
    </w:p>
    <w:p>
      <w:pPr>
        <w:pStyle w:val="ListParagraph"/>
        <w:numPr>
          <w:ilvl w:val="0"/>
          <w:numId w:val="2"/>
        </w:numPr>
        <w:spacing w:after="80" w:line="280"/>
      </w:pPr>
      <w:r>
        <w:rPr>
          <w:rFonts w:ascii="Arial" w:cs="Arial" w:eastAsia="Arial" w:hAnsi="Arial"/>
          <w:sz w:val="22"/>
          <w:szCs w:val="22"/>
        </w:rPr>
        <w:t xml:space="preserve">Throughout, the OTel collector has been gathering spans and shipping them to App Insights; Cosmos DB receives the structured audit record by the time the response closes.</w:t>
      </w:r>
    </w:p>
    <w:p>
      <w:pPr>
        <w:spacing w:after="120" w:line="300"/>
      </w:pPr>
      <w:r>
        <w:rPr>
          <w:rFonts w:ascii="Arial" w:cs="Arial" w:eastAsia="Arial" w:hAnsi="Arial"/>
          <w:sz w:val="22"/>
          <w:szCs w:val="22"/>
        </w:rPr>
        <w:t xml:space="preserve">From the cluster's perspective this is one Deployment talking to a handful of network endpoints — five logical agents, five external hops, three observability sinks — in a single coordinated transaction.</w:t>
      </w:r>
    </w:p>
    <w:p>
      <w:r>
        <w:br w:type="page"/>
      </w:r>
    </w:p>
    <w:p>
      <w:pPr>
        <w:pStyle w:val="Heading1"/>
        <w:spacing w:after="180" w:before="360"/>
      </w:pPr>
      <w:r>
        <w:rPr>
          <w:rFonts w:ascii="Arial" w:cs="Arial" w:eastAsia="Arial" w:hAnsi="Arial"/>
          <w:b/>
          <w:bCs/>
          <w:sz w:val="32"/>
          <w:szCs w:val="32"/>
        </w:rPr>
        <w:t xml:space="preserve">4. Rollout strategy: canary and blue-green</w:t>
      </w:r>
    </w:p>
    <w:p>
      <w:pPr>
        <w:spacing w:after="120" w:line="300"/>
      </w:pPr>
      <w:r>
        <w:rPr>
          <w:rFonts w:ascii="Arial" w:cs="Arial" w:eastAsia="Arial" w:hAnsi="Arial"/>
          <w:sz w:val="22"/>
          <w:szCs w:val="22"/>
        </w:rPr>
        <w:t xml:space="preserve">Production LLM workloads have rollout characteristics that vanilla Kubernetes rolling updates do not address well. This section walks the why, the patterns, and the practical considerations.</w:t>
      </w:r>
    </w:p>
    <w:p>
      <w:pPr>
        <w:pStyle w:val="Heading2"/>
        <w:spacing w:after="140" w:before="280"/>
      </w:pPr>
      <w:r>
        <w:rPr>
          <w:rFonts w:ascii="Arial" w:cs="Arial" w:eastAsia="Arial" w:hAnsi="Arial"/>
          <w:b/>
          <w:bCs/>
          <w:sz w:val="26"/>
          <w:szCs w:val="26"/>
        </w:rPr>
        <w:t xml:space="preserve">4.1 Why rolling updates are not enough</w:t>
      </w:r>
    </w:p>
    <w:p>
      <w:pPr>
        <w:spacing w:after="120" w:line="300"/>
      </w:pPr>
      <w:r>
        <w:rPr>
          <w:rFonts w:ascii="Arial" w:cs="Arial" w:eastAsia="Arial" w:hAnsi="Arial"/>
          <w:sz w:val="22"/>
          <w:szCs w:val="22"/>
        </w:rPr>
        <w:t xml:space="preserve">Kubernetes Deployments do rolling updates governed by maxSurge and maxUnavailability. That is sufficient when:</w:t>
      </w:r>
    </w:p>
    <w:p>
      <w:pPr>
        <w:pStyle w:val="ListParagraph"/>
        <w:numPr>
          <w:ilvl w:val="0"/>
          <w:numId w:val="2"/>
        </w:numPr>
        <w:spacing w:after="80" w:line="280"/>
      </w:pPr>
      <w:r>
        <w:rPr>
          <w:rFonts w:ascii="Arial" w:cs="Arial" w:eastAsia="Arial" w:hAnsi="Arial"/>
          <w:sz w:val="22"/>
          <w:szCs w:val="22"/>
        </w:rPr>
        <w:t xml:space="preserve">Failure modes are infrastructure failures (pod crash, OOM, port not bound) caught by liveness/readiness probes.</w:t>
      </w:r>
    </w:p>
    <w:p>
      <w:pPr>
        <w:pStyle w:val="ListParagraph"/>
        <w:numPr>
          <w:ilvl w:val="0"/>
          <w:numId w:val="2"/>
        </w:numPr>
        <w:spacing w:after="80" w:line="280"/>
      </w:pPr>
      <w:r>
        <w:rPr>
          <w:rFonts w:ascii="Arial" w:cs="Arial" w:eastAsia="Arial" w:hAnsi="Arial"/>
          <w:sz w:val="22"/>
          <w:szCs w:val="22"/>
        </w:rPr>
        <w:t xml:space="preserve">Application-level behavior is unchanged across versions — a security patch, a dependency bump.</w:t>
      </w:r>
    </w:p>
    <w:p>
      <w:pPr>
        <w:spacing w:after="120" w:line="300"/>
      </w:pPr>
      <w:r>
        <w:rPr>
          <w:rFonts w:ascii="Arial" w:cs="Arial" w:eastAsia="Arial" w:hAnsi="Arial"/>
          <w:sz w:val="22"/>
          <w:szCs w:val="22"/>
        </w:rPr>
        <w:t xml:space="preserve">For LLM workloads, rolling updates fall short in three specific ways:</w:t>
      </w:r>
    </w:p>
    <w:p>
      <w:pPr>
        <w:pStyle w:val="ListParagraph"/>
        <w:numPr>
          <w:ilvl w:val="0"/>
          <w:numId w:val="2"/>
        </w:numPr>
        <w:spacing w:after="80" w:line="280"/>
      </w:pPr>
      <w:r>
        <w:rPr>
          <w:rFonts w:ascii="Arial" w:cs="Arial" w:eastAsia="Arial" w:hAnsi="Arial"/>
          <w:b/>
          <w:bCs/>
          <w:sz w:val="22"/>
          <w:szCs w:val="22"/>
        </w:rPr>
        <w:t xml:space="preserve">Quality regressions are invisible to probes. </w:t>
      </w:r>
      <w:r>
        <w:rPr>
          <w:rFonts w:ascii="Arial" w:cs="Arial" w:eastAsia="Arial" w:hAnsi="Arial"/>
          <w:sz w:val="22"/>
          <w:szCs w:val="22"/>
        </w:rPr>
        <w:t xml:space="preserve">A new prompt template, model version, or routing change can degrade answer quality (hallucination rate, citation faithfulness, helpfulness) without any HTTP error rate change. The new pods look healthy.</w:t>
      </w:r>
    </w:p>
    <w:p>
      <w:pPr>
        <w:pStyle w:val="ListParagraph"/>
        <w:numPr>
          <w:ilvl w:val="0"/>
          <w:numId w:val="2"/>
        </w:numPr>
        <w:spacing w:after="80" w:line="280"/>
      </w:pPr>
      <w:r>
        <w:rPr>
          <w:rFonts w:ascii="Arial" w:cs="Arial" w:eastAsia="Arial" w:hAnsi="Arial"/>
          <w:b/>
          <w:bCs/>
          <w:sz w:val="22"/>
          <w:szCs w:val="22"/>
        </w:rPr>
        <w:t xml:space="preserve">No automatic rollback on application metrics. </w:t>
      </w:r>
      <w:r>
        <w:rPr>
          <w:rFonts w:ascii="Arial" w:cs="Arial" w:eastAsia="Arial" w:hAnsi="Arial"/>
          <w:sz w:val="22"/>
          <w:szCs w:val="22"/>
        </w:rPr>
        <w:t xml:space="preserve">Rolling update only rolls back on pod-level failures, not on Prometheus or App Insights metrics that capture business or behavioral signals.</w:t>
      </w:r>
    </w:p>
    <w:p>
      <w:pPr>
        <w:pStyle w:val="ListParagraph"/>
        <w:numPr>
          <w:ilvl w:val="0"/>
          <w:numId w:val="2"/>
        </w:numPr>
        <w:spacing w:after="80" w:line="280"/>
      </w:pPr>
      <w:r>
        <w:rPr>
          <w:rFonts w:ascii="Arial" w:cs="Arial" w:eastAsia="Arial" w:hAnsi="Arial"/>
          <w:b/>
          <w:bCs/>
          <w:sz w:val="22"/>
          <w:szCs w:val="22"/>
        </w:rPr>
        <w:t xml:space="preserve">Streaming sessions complicate quick rollback. </w:t>
      </w:r>
      <w:r>
        <w:rPr>
          <w:rFonts w:ascii="Arial" w:cs="Arial" w:eastAsia="Arial" w:hAnsi="Arial"/>
          <w:sz w:val="22"/>
          <w:szCs w:val="22"/>
        </w:rPr>
        <w:t xml:space="preserve">Long-lived SSE/WebSocket connections to old pods may need to drain gracefully rather than terminate, slowing rollback to safety.</w:t>
      </w:r>
    </w:p>
    <w:p>
      <w:pPr>
        <w:pStyle w:val="Heading2"/>
        <w:spacing w:after="140" w:before="280"/>
      </w:pPr>
      <w:r>
        <w:rPr>
          <w:rFonts w:ascii="Arial" w:cs="Arial" w:eastAsia="Arial" w:hAnsi="Arial"/>
          <w:b/>
          <w:bCs/>
          <w:sz w:val="26"/>
          <w:szCs w:val="26"/>
        </w:rPr>
        <w:t xml:space="preserve">4.2 Canary rollout with Argo Rollouts or Flagger</w:t>
      </w:r>
    </w:p>
    <w:p>
      <w:pPr>
        <w:spacing w:after="120" w:line="300"/>
      </w:pPr>
      <w:r>
        <w:rPr>
          <w:rFonts w:ascii="Arial" w:cs="Arial" w:eastAsia="Arial" w:hAnsi="Arial"/>
          <w:sz w:val="22"/>
          <w:szCs w:val="22"/>
        </w:rPr>
        <w:t xml:space="preserve">Replace the orchestrator's Deployment with a Rollout (Argo Rollouts) or annotate it for Flagger. The Rollout spec declares a stepped traffic-shifting strategy:</w:t>
      </w:r>
    </w:p>
    <w:p>
      <w:pPr>
        <w:pStyle w:val="ListParagraph"/>
        <w:numPr>
          <w:ilvl w:val="0"/>
          <w:numId w:val="2"/>
        </w:numPr>
        <w:spacing w:after="80" w:line="280"/>
      </w:pPr>
      <w:r>
        <w:rPr>
          <w:rFonts w:ascii="Arial" w:cs="Arial" w:eastAsia="Arial" w:hAnsi="Arial"/>
          <w:sz w:val="22"/>
          <w:szCs w:val="22"/>
        </w:rPr>
        <w:t xml:space="preserve">Step 1 — shift 5% of traffic to the new ReplicaSet, hold for 5 minutes.</w:t>
      </w:r>
    </w:p>
    <w:p>
      <w:pPr>
        <w:pStyle w:val="ListParagraph"/>
        <w:numPr>
          <w:ilvl w:val="0"/>
          <w:numId w:val="2"/>
        </w:numPr>
        <w:spacing w:after="80" w:line="280"/>
      </w:pPr>
      <w:r>
        <w:rPr>
          <w:rFonts w:ascii="Arial" w:cs="Arial" w:eastAsia="Arial" w:hAnsi="Arial"/>
          <w:sz w:val="22"/>
          <w:szCs w:val="22"/>
        </w:rPr>
        <w:t xml:space="preserve">Step 2 — run AnalysisRun against AnalysisTemplates that query Prometheus and App Insights.</w:t>
      </w:r>
    </w:p>
    <w:p>
      <w:pPr>
        <w:pStyle w:val="ListParagraph"/>
        <w:numPr>
          <w:ilvl w:val="0"/>
          <w:numId w:val="2"/>
        </w:numPr>
        <w:spacing w:after="80" w:line="280"/>
      </w:pPr>
      <w:r>
        <w:rPr>
          <w:rFonts w:ascii="Arial" w:cs="Arial" w:eastAsia="Arial" w:hAnsi="Arial"/>
          <w:sz w:val="22"/>
          <w:szCs w:val="22"/>
        </w:rPr>
        <w:t xml:space="preserve">Step 3 — if analysis passes, shift to 25% and re-analyze; otherwise abort and rollback.</w:t>
      </w:r>
    </w:p>
    <w:p>
      <w:pPr>
        <w:pStyle w:val="ListParagraph"/>
        <w:numPr>
          <w:ilvl w:val="0"/>
          <w:numId w:val="2"/>
        </w:numPr>
        <w:spacing w:after="80" w:line="280"/>
      </w:pPr>
      <w:r>
        <w:rPr>
          <w:rFonts w:ascii="Arial" w:cs="Arial" w:eastAsia="Arial" w:hAnsi="Arial"/>
          <w:sz w:val="22"/>
          <w:szCs w:val="22"/>
        </w:rPr>
        <w:t xml:space="preserve">Step 4 — escalate to 50%, then 100%, with analysis between each step.</w:t>
      </w:r>
    </w:p>
    <w:p>
      <w:pPr>
        <w:spacing w:after="120" w:line="300"/>
      </w:pPr>
      <w:r>
        <w:rPr>
          <w:rFonts w:ascii="Arial" w:cs="Arial" w:eastAsia="Arial" w:hAnsi="Arial"/>
          <w:sz w:val="22"/>
          <w:szCs w:val="22"/>
        </w:rPr>
        <w:t xml:space="preserve">AnalysisTemplates are where LLM-specific gating goes. Beyond the standard p95 latency and HTTP success rate, useful metrics include:</w:t>
      </w:r>
    </w:p>
    <w:p>
      <w:pPr>
        <w:pStyle w:val="ListParagraph"/>
        <w:numPr>
          <w:ilvl w:val="0"/>
          <w:numId w:val="2"/>
        </w:numPr>
        <w:spacing w:after="80" w:line="280"/>
      </w:pPr>
      <w:r>
        <w:rPr>
          <w:rFonts w:ascii="Arial" w:cs="Arial" w:eastAsia="Arial" w:hAnsi="Arial"/>
          <w:sz w:val="22"/>
          <w:szCs w:val="22"/>
        </w:rPr>
        <w:t xml:space="preserve">Hallucination rate — sampled offline eval or proxy signals (e.g., citation match rate).</w:t>
      </w:r>
    </w:p>
    <w:p>
      <w:pPr>
        <w:pStyle w:val="ListParagraph"/>
        <w:numPr>
          <w:ilvl w:val="0"/>
          <w:numId w:val="2"/>
        </w:numPr>
        <w:spacing w:after="80" w:line="280"/>
      </w:pPr>
      <w:r>
        <w:rPr>
          <w:rFonts w:ascii="Arial" w:cs="Arial" w:eastAsia="Arial" w:hAnsi="Arial"/>
          <w:sz w:val="22"/>
          <w:szCs w:val="22"/>
        </w:rPr>
        <w:t xml:space="preserve">Citation faithfulness — fraction of generated claims that map to a retrieved source.</w:t>
      </w:r>
    </w:p>
    <w:p>
      <w:pPr>
        <w:pStyle w:val="ListParagraph"/>
        <w:numPr>
          <w:ilvl w:val="0"/>
          <w:numId w:val="2"/>
        </w:numPr>
        <w:spacing w:after="80" w:line="280"/>
      </w:pPr>
      <w:r>
        <w:rPr>
          <w:rFonts w:ascii="Arial" w:cs="Arial" w:eastAsia="Arial" w:hAnsi="Arial"/>
          <w:sz w:val="22"/>
          <w:szCs w:val="22"/>
        </w:rPr>
        <w:t xml:space="preserve">User thumbs-down rate or session abandonment rate.</w:t>
      </w:r>
    </w:p>
    <w:p>
      <w:pPr>
        <w:pStyle w:val="ListParagraph"/>
        <w:numPr>
          <w:ilvl w:val="0"/>
          <w:numId w:val="2"/>
        </w:numPr>
        <w:spacing w:after="80" w:line="280"/>
      </w:pPr>
      <w:r>
        <w:rPr>
          <w:rFonts w:ascii="Arial" w:cs="Arial" w:eastAsia="Arial" w:hAnsi="Arial"/>
          <w:sz w:val="22"/>
          <w:szCs w:val="22"/>
        </w:rPr>
        <w:t xml:space="preserve">Token cost per session — a regression that ships an inefficient prompt template will spike this.</w:t>
      </w:r>
    </w:p>
    <w:p>
      <w:pPr>
        <w:pStyle w:val="ListParagraph"/>
        <w:numPr>
          <w:ilvl w:val="0"/>
          <w:numId w:val="2"/>
        </w:numPr>
        <w:spacing w:after="80" w:line="280"/>
      </w:pPr>
      <w:r>
        <w:rPr>
          <w:rFonts w:ascii="Arial" w:cs="Arial" w:eastAsia="Arial" w:hAnsi="Arial"/>
          <w:sz w:val="22"/>
          <w:szCs w:val="22"/>
        </w:rPr>
        <w:t xml:space="preserve">Tool-call success rate per agent — catches a regression in tool routing or schema.</w:t>
      </w:r>
    </w:p>
    <w:p>
      <w:pPr>
        <w:spacing w:after="120" w:line="300"/>
      </w:pPr>
      <w:r>
        <w:rPr>
          <w:rFonts w:ascii="Arial" w:cs="Arial" w:eastAsia="Arial" w:hAnsi="Arial"/>
          <w:sz w:val="22"/>
          <w:szCs w:val="22"/>
        </w:rPr>
        <w:t xml:space="preserve">Argo Rollouts gates by querying these via Prometheus or App Insights; Flagger does the same. If any metric breaches its threshold during the analysis window, the Rollout reverses traffic to the stable ReplicaSet and the new version is scaled back.</w:t>
      </w:r>
    </w:p>
    <w:p>
      <w:pPr>
        <w:pStyle w:val="Heading2"/>
        <w:spacing w:after="140" w:before="280"/>
      </w:pPr>
      <w:r>
        <w:rPr>
          <w:rFonts w:ascii="Arial" w:cs="Arial" w:eastAsia="Arial" w:hAnsi="Arial"/>
          <w:b/>
          <w:bCs/>
          <w:sz w:val="26"/>
          <w:szCs w:val="26"/>
        </w:rPr>
        <w:t xml:space="preserve">4.3 Blue-green for major changes</w:t>
      </w:r>
    </w:p>
    <w:p>
      <w:pPr>
        <w:spacing w:after="120" w:line="300"/>
      </w:pPr>
      <w:r>
        <w:rPr>
          <w:rFonts w:ascii="Arial" w:cs="Arial" w:eastAsia="Arial" w:hAnsi="Arial"/>
          <w:sz w:val="22"/>
          <w:szCs w:val="22"/>
        </w:rPr>
        <w:t xml:space="preserve">Blue-green is the right pattern when the change is too large or too coupled to do incrementally — a model version upgrade (GPT-4o → next-gen), an agent prompt overhaul, a vector index schema change. The pattern:</w:t>
      </w:r>
    </w:p>
    <w:p>
      <w:pPr>
        <w:pStyle w:val="ListParagraph"/>
        <w:numPr>
          <w:ilvl w:val="0"/>
          <w:numId w:val="2"/>
        </w:numPr>
        <w:spacing w:after="80" w:line="280"/>
      </w:pPr>
      <w:r>
        <w:rPr>
          <w:rFonts w:ascii="Arial" w:cs="Arial" w:eastAsia="Arial" w:hAnsi="Arial"/>
          <w:sz w:val="22"/>
          <w:szCs w:val="22"/>
        </w:rPr>
        <w:t xml:space="preserve">Spin up a complete parallel “green” stack (orchestrator, supporting services, possibly a new AI Search index).</w:t>
      </w:r>
    </w:p>
    <w:p>
      <w:pPr>
        <w:pStyle w:val="ListParagraph"/>
        <w:numPr>
          <w:ilvl w:val="0"/>
          <w:numId w:val="2"/>
        </w:numPr>
        <w:spacing w:after="80" w:line="280"/>
      </w:pPr>
      <w:r>
        <w:rPr>
          <w:rFonts w:ascii="Arial" w:cs="Arial" w:eastAsia="Arial" w:hAnsi="Arial"/>
          <w:sz w:val="22"/>
          <w:szCs w:val="22"/>
        </w:rPr>
        <w:t xml:space="preserve">Run synthetic and shadow traffic against green for a soak period (hours to a day).</w:t>
      </w:r>
    </w:p>
    <w:p>
      <w:pPr>
        <w:pStyle w:val="ListParagraph"/>
        <w:numPr>
          <w:ilvl w:val="0"/>
          <w:numId w:val="2"/>
        </w:numPr>
        <w:spacing w:after="80" w:line="280"/>
      </w:pPr>
      <w:r>
        <w:rPr>
          <w:rFonts w:ascii="Arial" w:cs="Arial" w:eastAsia="Arial" w:hAnsi="Arial"/>
          <w:sz w:val="22"/>
          <w:szCs w:val="22"/>
        </w:rPr>
        <w:t xml:space="preserve">Once verified, switch Ingress routing atomically from blue to green.</w:t>
      </w:r>
    </w:p>
    <w:p>
      <w:pPr>
        <w:pStyle w:val="ListParagraph"/>
        <w:numPr>
          <w:ilvl w:val="0"/>
          <w:numId w:val="2"/>
        </w:numPr>
        <w:spacing w:after="80" w:line="280"/>
      </w:pPr>
      <w:r>
        <w:rPr>
          <w:rFonts w:ascii="Arial" w:cs="Arial" w:eastAsia="Arial" w:hAnsi="Arial"/>
          <w:sz w:val="22"/>
          <w:szCs w:val="22"/>
        </w:rPr>
        <w:t xml:space="preserve">Hold blue at zero traffic but live for 24–48 hours for instant rollback if green degrades.</w:t>
      </w:r>
    </w:p>
    <w:p>
      <w:pPr>
        <w:spacing w:after="120" w:line="300"/>
      </w:pPr>
      <w:r>
        <w:rPr>
          <w:rFonts w:ascii="Arial" w:cs="Arial" w:eastAsia="Arial" w:hAnsi="Arial"/>
          <w:sz w:val="22"/>
          <w:szCs w:val="22"/>
        </w:rPr>
        <w:t xml:space="preserve">The cost during cutover is roughly double the production footprint, which is the price paid for the lowest-risk rollback path.</w:t>
      </w:r>
    </w:p>
    <w:p>
      <w:pPr>
        <w:pStyle w:val="Heading2"/>
        <w:spacing w:after="140" w:before="280"/>
      </w:pPr>
      <w:r>
        <w:rPr>
          <w:rFonts w:ascii="Arial" w:cs="Arial" w:eastAsia="Arial" w:hAnsi="Arial"/>
          <w:b/>
          <w:bCs/>
          <w:sz w:val="26"/>
          <w:szCs w:val="26"/>
        </w:rPr>
        <w:t xml:space="preserve">4.4 Practical considerations</w:t>
      </w:r>
    </w:p>
    <w:p>
      <w:pPr>
        <w:pStyle w:val="ListParagraph"/>
        <w:numPr>
          <w:ilvl w:val="0"/>
          <w:numId w:val="2"/>
        </w:numPr>
        <w:spacing w:after="80" w:line="280"/>
      </w:pPr>
      <w:r>
        <w:rPr>
          <w:rFonts w:ascii="Arial" w:cs="Arial" w:eastAsia="Arial" w:hAnsi="Arial"/>
          <w:b/>
          <w:bCs/>
          <w:sz w:val="22"/>
          <w:szCs w:val="22"/>
        </w:rPr>
        <w:t xml:space="preserve">Warmup. </w:t>
      </w:r>
      <w:r>
        <w:rPr>
          <w:rFonts w:ascii="Arial" w:cs="Arial" w:eastAsia="Arial" w:hAnsi="Arial"/>
          <w:sz w:val="22"/>
          <w:szCs w:val="22"/>
        </w:rPr>
        <w:t xml:space="preserve">LLM-orchestration pods have meaningful cold-start cost: loading agent prompts, initializing OpenAI clients, JIT-compiling Python paths. Use a PreStop hook for graceful shutdown and a readiness probe that delays Service inclusion until a synthetic warmup query completes.</w:t>
      </w:r>
    </w:p>
    <w:p>
      <w:pPr>
        <w:pStyle w:val="ListParagraph"/>
        <w:numPr>
          <w:ilvl w:val="0"/>
          <w:numId w:val="2"/>
        </w:numPr>
        <w:spacing w:after="80" w:line="280"/>
      </w:pPr>
      <w:r>
        <w:rPr>
          <w:rFonts w:ascii="Arial" w:cs="Arial" w:eastAsia="Arial" w:hAnsi="Arial"/>
          <w:b/>
          <w:bCs/>
          <w:sz w:val="22"/>
          <w:szCs w:val="22"/>
        </w:rPr>
        <w:t xml:space="preserve">Isolate variables. </w:t>
      </w:r>
      <w:r>
        <w:rPr>
          <w:rFonts w:ascii="Arial" w:cs="Arial" w:eastAsia="Arial" w:hAnsi="Arial"/>
          <w:sz w:val="22"/>
          <w:szCs w:val="22"/>
        </w:rPr>
        <w:t xml:space="preserve">A canary that simultaneously rolls a new orchestrator + a new prompt template + a new Azure OpenAI deployment is a multi-variable experiment with confounded results. Stage changes; gate each one independently.</w:t>
      </w:r>
    </w:p>
    <w:p>
      <w:pPr>
        <w:pStyle w:val="ListParagraph"/>
        <w:numPr>
          <w:ilvl w:val="0"/>
          <w:numId w:val="2"/>
        </w:numPr>
        <w:spacing w:after="80" w:line="280"/>
      </w:pPr>
      <w:r>
        <w:rPr>
          <w:rFonts w:ascii="Arial" w:cs="Arial" w:eastAsia="Arial" w:hAnsi="Arial"/>
          <w:b/>
          <w:bCs/>
          <w:sz w:val="22"/>
          <w:szCs w:val="22"/>
        </w:rPr>
        <w:t xml:space="preserve">Session state versioning. </w:t>
      </w:r>
      <w:r>
        <w:rPr>
          <w:rFonts w:ascii="Arial" w:cs="Arial" w:eastAsia="Arial" w:hAnsi="Arial"/>
          <w:sz w:val="22"/>
          <w:szCs w:val="22"/>
        </w:rPr>
        <w:t xml:space="preserve">If blue and green serialize session state differently in Redis, a mid-session swap breaks user experience. Either drain sessions before promotion or version the Redis key schema (session:v2:{sid}) so blue and green coexist.</w:t>
      </w:r>
    </w:p>
    <w:p>
      <w:pPr>
        <w:pStyle w:val="ListParagraph"/>
        <w:numPr>
          <w:ilvl w:val="0"/>
          <w:numId w:val="2"/>
        </w:numPr>
        <w:spacing w:after="80" w:line="280"/>
      </w:pPr>
      <w:r>
        <w:rPr>
          <w:rFonts w:ascii="Arial" w:cs="Arial" w:eastAsia="Arial" w:hAnsi="Arial"/>
          <w:b/>
          <w:bCs/>
          <w:sz w:val="22"/>
          <w:szCs w:val="22"/>
        </w:rPr>
        <w:t xml:space="preserve">Model deployment coupling. </w:t>
      </w:r>
      <w:r>
        <w:rPr>
          <w:rFonts w:ascii="Arial" w:cs="Arial" w:eastAsia="Arial" w:hAnsi="Arial"/>
          <w:sz w:val="22"/>
          <w:szCs w:val="22"/>
        </w:rPr>
        <w:t xml:space="preserve">Azure OpenAI deployments are first-class resources separate from the cluster. A new prompt template tested against gpt-4o-2024-11-20 should pin to that deployment name during canary, not float on “gpt-4o”, to avoid silent model drift.</w:t>
      </w:r>
    </w:p>
    <w:p>
      <w:pPr>
        <w:pStyle w:val="ListParagraph"/>
        <w:numPr>
          <w:ilvl w:val="0"/>
          <w:numId w:val="2"/>
        </w:numPr>
        <w:spacing w:after="80" w:line="280"/>
      </w:pPr>
      <w:r>
        <w:rPr>
          <w:rFonts w:ascii="Arial" w:cs="Arial" w:eastAsia="Arial" w:hAnsi="Arial"/>
          <w:b/>
          <w:bCs/>
          <w:sz w:val="22"/>
          <w:szCs w:val="22"/>
        </w:rPr>
        <w:t xml:space="preserve">Audit and traceability. </w:t>
      </w:r>
      <w:r>
        <w:rPr>
          <w:rFonts w:ascii="Arial" w:cs="Arial" w:eastAsia="Arial" w:hAnsi="Arial"/>
          <w:sz w:val="22"/>
          <w:szCs w:val="22"/>
        </w:rPr>
        <w:t xml:space="preserve">Every rollout step writes a structured event to Cosmos DB audit logs with rollout-id, version, and step. This matters for FDA/EMA traceability — every change in production should be reproducible from the audit trail.</w:t>
      </w:r>
    </w:p>
    <w:p>
      <w:pPr>
        <w:spacing w:after="80" w:before="120"/>
      </w:pPr>
      <w:r>
        <w:rPr>
          <w:rFonts w:ascii="Arial" w:cs="Arial" w:eastAsia="Arial" w:hAnsi="Arial"/>
          <w:i/>
          <w:iCs/>
          <w:color w:val="595959"/>
          <w:sz w:val="22"/>
          <w:szCs w:val="22"/>
        </w:rPr>
        <w:t xml:space="preserve">Rollout strategies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rPr>
          <w:tblHeader/>
        </w:trPr>
        <w:tc>
          <w:tcPr>
            <w:tcW w:type="dxa" w:w="2000"/>
            <w:tcBorders>
              <w:top w:val="single" w:color="BFBFBF" w:sz="4"/>
              <w:left w:val="single" w:color="BFBFBF" w:sz="4"/>
              <w:bottom w:val="single" w:color="BFBFBF" w:sz="4"/>
              <w:right w:val="single" w:color="BFBFBF" w:sz="4"/>
            </w:tcBorders>
            <w:shd w:fill="E8E2D5" w:val="clear"/>
            <w:tcMar>
              <w:top w:type="dxa" w:w="100"/>
              <w:left w:type="dxa" w:w="140"/>
              <w:bottom w:type="dxa" w:w="100"/>
              <w:right w:type="dxa" w:w="140"/>
            </w:tcMar>
          </w:tcPr>
          <w:p>
            <w:pPr>
              <w:spacing w:after="0" w:line="260"/>
            </w:pPr>
            <w:r>
              <w:rPr>
                <w:rFonts w:ascii="Arial" w:cs="Arial" w:eastAsia="Arial" w:hAnsi="Arial"/>
                <w:b/>
                <w:bCs/>
                <w:sz w:val="22"/>
                <w:szCs w:val="22"/>
              </w:rPr>
              <w:t xml:space="preserve">Dimension</w:t>
            </w:r>
          </w:p>
        </w:tc>
        <w:tc>
          <w:tcPr>
            <w:tcW w:type="dxa" w:w="2453"/>
            <w:tcBorders>
              <w:top w:val="single" w:color="BFBFBF" w:sz="4"/>
              <w:left w:val="single" w:color="BFBFBF" w:sz="4"/>
              <w:bottom w:val="single" w:color="BFBFBF" w:sz="4"/>
              <w:right w:val="single" w:color="BFBFBF" w:sz="4"/>
            </w:tcBorders>
            <w:shd w:fill="E8E2D5" w:val="clear"/>
            <w:tcMar>
              <w:top w:type="dxa" w:w="100"/>
              <w:left w:type="dxa" w:w="140"/>
              <w:bottom w:type="dxa" w:w="100"/>
              <w:right w:type="dxa" w:w="140"/>
            </w:tcMar>
          </w:tcPr>
          <w:p>
            <w:pPr>
              <w:spacing w:after="0" w:line="260"/>
            </w:pPr>
            <w:r>
              <w:rPr>
                <w:rFonts w:ascii="Arial" w:cs="Arial" w:eastAsia="Arial" w:hAnsi="Arial"/>
                <w:b/>
                <w:bCs/>
                <w:sz w:val="22"/>
                <w:szCs w:val="22"/>
              </w:rPr>
              <w:t xml:space="preserve">Rolling update</w:t>
            </w:r>
          </w:p>
        </w:tc>
        <w:tc>
          <w:tcPr>
            <w:tcW w:type="dxa" w:w="2453"/>
            <w:tcBorders>
              <w:top w:val="single" w:color="BFBFBF" w:sz="4"/>
              <w:left w:val="single" w:color="BFBFBF" w:sz="4"/>
              <w:bottom w:val="single" w:color="BFBFBF" w:sz="4"/>
              <w:right w:val="single" w:color="BFBFBF" w:sz="4"/>
            </w:tcBorders>
            <w:shd w:fill="E8E2D5" w:val="clear"/>
            <w:tcMar>
              <w:top w:type="dxa" w:w="100"/>
              <w:left w:type="dxa" w:w="140"/>
              <w:bottom w:type="dxa" w:w="100"/>
              <w:right w:type="dxa" w:w="140"/>
            </w:tcMar>
          </w:tcPr>
          <w:p>
            <w:pPr>
              <w:spacing w:after="0" w:line="260"/>
            </w:pPr>
            <w:r>
              <w:rPr>
                <w:rFonts w:ascii="Arial" w:cs="Arial" w:eastAsia="Arial" w:hAnsi="Arial"/>
                <w:b/>
                <w:bCs/>
                <w:sz w:val="22"/>
                <w:szCs w:val="22"/>
              </w:rPr>
              <w:t xml:space="preserve">Canary</w:t>
            </w:r>
          </w:p>
        </w:tc>
        <w:tc>
          <w:tcPr>
            <w:tcW w:type="dxa" w:w="2454"/>
            <w:tcBorders>
              <w:top w:val="single" w:color="BFBFBF" w:sz="4"/>
              <w:left w:val="single" w:color="BFBFBF" w:sz="4"/>
              <w:bottom w:val="single" w:color="BFBFBF" w:sz="4"/>
              <w:right w:val="single" w:color="BFBFBF" w:sz="4"/>
            </w:tcBorders>
            <w:shd w:fill="E8E2D5" w:val="clear"/>
            <w:tcMar>
              <w:top w:type="dxa" w:w="100"/>
              <w:left w:type="dxa" w:w="140"/>
              <w:bottom w:type="dxa" w:w="100"/>
              <w:right w:type="dxa" w:w="140"/>
            </w:tcMar>
          </w:tcPr>
          <w:p>
            <w:pPr>
              <w:spacing w:after="0" w:line="260"/>
            </w:pPr>
            <w:r>
              <w:rPr>
                <w:rFonts w:ascii="Arial" w:cs="Arial" w:eastAsia="Arial" w:hAnsi="Arial"/>
                <w:b/>
                <w:bCs/>
                <w:sz w:val="22"/>
                <w:szCs w:val="22"/>
              </w:rPr>
              <w:t xml:space="preserve">Blue-green</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Risk level</w:t>
            </w:r>
          </w:p>
        </w:tc>
        <w:tc>
          <w:tcPr>
            <w:tcW w:type="dxa" w:w="245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Medium</w:t>
            </w:r>
          </w:p>
        </w:tc>
        <w:tc>
          <w:tcPr>
            <w:tcW w:type="dxa" w:w="245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Low</w:t>
            </w:r>
          </w:p>
        </w:tc>
        <w:tc>
          <w:tcPr>
            <w:tcW w:type="dxa" w:w="2454"/>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Lowest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Rollback speed</w:t>
            </w:r>
          </w:p>
        </w:tc>
        <w:tc>
          <w:tcPr>
            <w:tcW w:type="dxa" w:w="245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Minutes (re-roll)</w:t>
            </w:r>
          </w:p>
        </w:tc>
        <w:tc>
          <w:tcPr>
            <w:tcW w:type="dxa" w:w="245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Seconds (traffic shift back)</w:t>
            </w:r>
          </w:p>
        </w:tc>
        <w:tc>
          <w:tcPr>
            <w:tcW w:type="dxa" w:w="2454"/>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Instant (switch Ingress)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Resource cost</w:t>
            </w:r>
          </w:p>
        </w:tc>
        <w:tc>
          <w:tcPr>
            <w:tcW w:type="dxa" w:w="245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1x</w:t>
            </w:r>
          </w:p>
        </w:tc>
        <w:tc>
          <w:tcPr>
            <w:tcW w:type="dxa" w:w="245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1.1–1.3x</w:t>
            </w:r>
          </w:p>
        </w:tc>
        <w:tc>
          <w:tcPr>
            <w:tcW w:type="dxa" w:w="2454"/>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2x during cutover</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Best for</w:t>
            </w:r>
          </w:p>
        </w:tc>
        <w:tc>
          <w:tcPr>
            <w:tcW w:type="dxa" w:w="245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Patches, infra changes</w:t>
            </w:r>
          </w:p>
        </w:tc>
        <w:tc>
          <w:tcPr>
            <w:tcW w:type="dxa" w:w="245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Prompt tweaks, agent logic, models</w:t>
            </w:r>
          </w:p>
        </w:tc>
        <w:tc>
          <w:tcPr>
            <w:tcW w:type="dxa" w:w="2454"/>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Major rewrites, index changes</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Quality gating</w:t>
            </w:r>
          </w:p>
        </w:tc>
        <w:tc>
          <w:tcPr>
            <w:tcW w:type="dxa" w:w="245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None (probes only)</w:t>
            </w:r>
          </w:p>
        </w:tc>
        <w:tc>
          <w:tcPr>
            <w:tcW w:type="dxa" w:w="2453"/>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Prometheus / App Insights queries</w:t>
            </w:r>
          </w:p>
        </w:tc>
        <w:tc>
          <w:tcPr>
            <w:tcW w:type="dxa" w:w="2454"/>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Shadow + soak tests</w:t>
            </w:r>
          </w:p>
        </w:tc>
      </w:tr>
    </w:tbl>
    <w:p>
      <w:pPr>
        <w:spacing w:after="100"/>
      </w:pPr>
    </w:p>
    <w:p>
      <w:r>
        <w:br w:type="page"/>
      </w:r>
    </w:p>
    <w:p>
      <w:pPr>
        <w:pStyle w:val="Heading1"/>
        <w:spacing w:after="180" w:before="360"/>
      </w:pPr>
      <w:r>
        <w:rPr>
          <w:rFonts w:ascii="Arial" w:cs="Arial" w:eastAsia="Arial" w:hAnsi="Arial"/>
          <w:b/>
          <w:bCs/>
          <w:sz w:val="32"/>
          <w:szCs w:val="32"/>
        </w:rPr>
        <w:t xml:space="preserve">5. Workload Identity end-to-end</w:t>
      </w:r>
    </w:p>
    <w:p>
      <w:pPr>
        <w:spacing w:after="120" w:line="300"/>
      </w:pPr>
      <w:r>
        <w:rPr>
          <w:rFonts w:ascii="Arial" w:cs="Arial" w:eastAsia="Arial" w:hAnsi="Arial"/>
          <w:sz w:val="22"/>
          <w:szCs w:val="22"/>
        </w:rPr>
        <w:t xml:space="preserve">Workload Identity is the mechanism by which a pod in AKS authenticates to Azure resources (OpenAI, AI Search, Cosmos DB, Key Vault, Blob Storage) without ever holding a static secret. It is the federated successor to AAD Pod Identity, which is deprecated.</w:t>
      </w:r>
    </w:p>
    <w:p>
      <w:pPr>
        <w:pStyle w:val="Heading2"/>
        <w:spacing w:after="140" w:before="280"/>
      </w:pPr>
      <w:r>
        <w:rPr>
          <w:rFonts w:ascii="Arial" w:cs="Arial" w:eastAsia="Arial" w:hAnsi="Arial"/>
          <w:b/>
          <w:bCs/>
          <w:sz w:val="26"/>
          <w:szCs w:val="26"/>
        </w:rPr>
        <w:t xml:space="preserve">5.1 The problem it solves</w:t>
      </w:r>
    </w:p>
    <w:p>
      <w:pPr>
        <w:spacing w:after="120" w:line="300"/>
      </w:pPr>
      <w:r>
        <w:rPr>
          <w:rFonts w:ascii="Arial" w:cs="Arial" w:eastAsia="Arial" w:hAnsi="Arial"/>
          <w:sz w:val="22"/>
          <w:szCs w:val="22"/>
        </w:rPr>
        <w:t xml:space="preserve">Before Workload Identity, two patterns dominated. Static secrets in Kubernetes Secrets — a Cosmos connection string or OpenAI API key — work but introduce rotation burden, blast radius if leaked, and audit gaps. AAD Pod Identity solved this with a node-managed identity (NMI) DaemonSet that intercepted IMDS calls from pods and brokered tokens. It worked but required cluster-level CRDs, had iptables interception logic, and carried known security gaps for which it is now deprecated.</w:t>
      </w:r>
    </w:p>
    <w:p>
      <w:pPr>
        <w:spacing w:after="120" w:line="300"/>
      </w:pPr>
      <w:r>
        <w:rPr>
          <w:rFonts w:ascii="Arial" w:cs="Arial" w:eastAsia="Arial" w:hAnsi="Arial"/>
          <w:sz w:val="22"/>
          <w:szCs w:val="22"/>
        </w:rPr>
        <w:t xml:space="preserve">Workload Identity replaces all of this with OIDC federation — an industry standard pattern. The pod presents a Kubernetes-signed JWT to Azure AD; Azure AD trusts that JWT because it has been federated against the AKS cluster's OIDC issuer; Azure AD returns an access token scoped to the AAD app the ServiceAccount maps to.</w:t>
      </w:r>
    </w:p>
    <w:p>
      <w:pPr>
        <w:pStyle w:val="Heading2"/>
        <w:spacing w:after="140" w:before="280"/>
      </w:pPr>
      <w:r>
        <w:rPr>
          <w:rFonts w:ascii="Arial" w:cs="Arial" w:eastAsia="Arial" w:hAnsi="Arial"/>
          <w:b/>
          <w:bCs/>
          <w:sz w:val="26"/>
          <w:szCs w:val="26"/>
        </w:rPr>
        <w:t xml:space="preserve">5.2 The wiring, step by step</w:t>
      </w:r>
    </w:p>
    <w:p>
      <w:pPr>
        <w:spacing w:after="120" w:line="300"/>
      </w:pPr>
      <w:r>
        <w:rPr>
          <w:rFonts w:ascii="Arial" w:cs="Arial" w:eastAsia="Arial" w:hAnsi="Arial"/>
          <w:sz w:val="22"/>
          <w:szCs w:val="22"/>
        </w:rPr>
        <w:t xml:space="preserve">Six configuration steps connect a pod to an Azure resource via Workload Identity:</w:t>
      </w:r>
    </w:p>
    <w:p>
      <w:pPr>
        <w:pStyle w:val="ListParagraph"/>
        <w:numPr>
          <w:ilvl w:val="0"/>
          <w:numId w:val="2"/>
        </w:numPr>
        <w:spacing w:after="80" w:line="280"/>
      </w:pPr>
      <w:r>
        <w:rPr>
          <w:rFonts w:ascii="Arial" w:cs="Arial" w:eastAsia="Arial" w:hAnsi="Arial"/>
          <w:b/>
          <w:bCs/>
          <w:sz w:val="22"/>
          <w:szCs w:val="22"/>
        </w:rPr>
        <w:t xml:space="preserve">Step 1. </w:t>
      </w:r>
      <w:r>
        <w:rPr>
          <w:rFonts w:ascii="Arial" w:cs="Arial" w:eastAsia="Arial" w:hAnsi="Arial"/>
          <w:sz w:val="22"/>
          <w:szCs w:val="22"/>
        </w:rPr>
        <w:t xml:space="preserve">Enable the OIDC issuer on the AKS cluster. Done at creation time with --enable-oidc-issuer or retrofitted with az aks update. The cluster now publishes its OIDC discovery document at a well-known URL.</w:t>
      </w:r>
    </w:p>
    <w:p>
      <w:pPr>
        <w:pStyle w:val="ListParagraph"/>
        <w:numPr>
          <w:ilvl w:val="0"/>
          <w:numId w:val="2"/>
        </w:numPr>
        <w:spacing w:after="80" w:line="280"/>
      </w:pPr>
      <w:r>
        <w:rPr>
          <w:rFonts w:ascii="Arial" w:cs="Arial" w:eastAsia="Arial" w:hAnsi="Arial"/>
          <w:b/>
          <w:bCs/>
          <w:sz w:val="22"/>
          <w:szCs w:val="22"/>
        </w:rPr>
        <w:t xml:space="preserve">Step 2. </w:t>
      </w:r>
      <w:r>
        <w:rPr>
          <w:rFonts w:ascii="Arial" w:cs="Arial" w:eastAsia="Arial" w:hAnsi="Arial"/>
          <w:sz w:val="22"/>
          <w:szCs w:val="22"/>
        </w:rPr>
        <w:t xml:space="preserve">Enable the Workload Identity admission webhook on the cluster. Done with --enable-workload-identity. This webhook mutates pod specs to project the ServiceAccount token and inject the required environment variables (AZURE_FEDERATED_TOKEN_FILE, AZURE_CLIENT_ID, AZURE_TENANT_ID).</w:t>
      </w:r>
    </w:p>
    <w:p>
      <w:pPr>
        <w:pStyle w:val="ListParagraph"/>
        <w:numPr>
          <w:ilvl w:val="0"/>
          <w:numId w:val="2"/>
        </w:numPr>
        <w:spacing w:after="80" w:line="280"/>
      </w:pPr>
      <w:r>
        <w:rPr>
          <w:rFonts w:ascii="Arial" w:cs="Arial" w:eastAsia="Arial" w:hAnsi="Arial"/>
          <w:b/>
          <w:bCs/>
          <w:sz w:val="22"/>
          <w:szCs w:val="22"/>
        </w:rPr>
        <w:t xml:space="preserve">Step 3. </w:t>
      </w:r>
      <w:r>
        <w:rPr>
          <w:rFonts w:ascii="Arial" w:cs="Arial" w:eastAsia="Arial" w:hAnsi="Arial"/>
          <w:sz w:val="22"/>
          <w:szCs w:val="22"/>
        </w:rPr>
        <w:t xml:space="preserve">Create or identify an Azure AD App Registration (or User-Assigned Managed Identity — both work). This is the Azure identity the pod will impersonate.</w:t>
      </w:r>
    </w:p>
    <w:p>
      <w:pPr>
        <w:pStyle w:val="ListParagraph"/>
        <w:numPr>
          <w:ilvl w:val="0"/>
          <w:numId w:val="2"/>
        </w:numPr>
        <w:spacing w:after="80" w:line="280"/>
      </w:pPr>
      <w:r>
        <w:rPr>
          <w:rFonts w:ascii="Arial" w:cs="Arial" w:eastAsia="Arial" w:hAnsi="Arial"/>
          <w:b/>
          <w:bCs/>
          <w:sz w:val="22"/>
          <w:szCs w:val="22"/>
        </w:rPr>
        <w:t xml:space="preserve">Step 4. </w:t>
      </w:r>
      <w:r>
        <w:rPr>
          <w:rFonts w:ascii="Arial" w:cs="Arial" w:eastAsia="Arial" w:hAnsi="Arial"/>
          <w:sz w:val="22"/>
          <w:szCs w:val="22"/>
        </w:rPr>
        <w:t xml:space="preserve">Add a Federated Identity Credential to the AAD app. Three values: Issuer = the cluster's OIDC issuer URL; Subject = system:serviceaccount:&lt;namespace&gt;:&lt;serviceaccount-name&gt;; Audience = api://AzureADTokenExchange.</w:t>
      </w:r>
    </w:p>
    <w:p>
      <w:pPr>
        <w:pStyle w:val="ListParagraph"/>
        <w:numPr>
          <w:ilvl w:val="0"/>
          <w:numId w:val="2"/>
        </w:numPr>
        <w:spacing w:after="80" w:line="280"/>
      </w:pPr>
      <w:r>
        <w:rPr>
          <w:rFonts w:ascii="Arial" w:cs="Arial" w:eastAsia="Arial" w:hAnsi="Arial"/>
          <w:b/>
          <w:bCs/>
          <w:sz w:val="22"/>
          <w:szCs w:val="22"/>
        </w:rPr>
        <w:t xml:space="preserve">Step 5. </w:t>
      </w:r>
      <w:r>
        <w:rPr>
          <w:rFonts w:ascii="Arial" w:cs="Arial" w:eastAsia="Arial" w:hAnsi="Arial"/>
          <w:sz w:val="22"/>
          <w:szCs w:val="22"/>
        </w:rPr>
        <w:t xml:space="preserve">Assign Azure RBAC to the AAD app for each target resource. For the orchestrator: “Cognitive Services User” on Azure OpenAI, “Search Index Data Reader” on Azure AI Search, “Cosmos DB Built-in Data Contributor” on Cosmos DB, “Key Vault Secrets User” on Key Vault.</w:t>
      </w:r>
    </w:p>
    <w:p>
      <w:pPr>
        <w:pStyle w:val="ListParagraph"/>
        <w:numPr>
          <w:ilvl w:val="0"/>
          <w:numId w:val="2"/>
        </w:numPr>
        <w:spacing w:after="80" w:line="280"/>
      </w:pPr>
      <w:r>
        <w:rPr>
          <w:rFonts w:ascii="Arial" w:cs="Arial" w:eastAsia="Arial" w:hAnsi="Arial"/>
          <w:b/>
          <w:bCs/>
          <w:sz w:val="22"/>
          <w:szCs w:val="22"/>
        </w:rPr>
        <w:t xml:space="preserve">Step 6. </w:t>
      </w:r>
      <w:r>
        <w:rPr>
          <w:rFonts w:ascii="Arial" w:cs="Arial" w:eastAsia="Arial" w:hAnsi="Arial"/>
          <w:sz w:val="22"/>
          <w:szCs w:val="22"/>
        </w:rPr>
        <w:t xml:space="preserve">Annotate the Kubernetes ServiceAccount and label the pod template. The ServiceAccount gets azure.workload.identity/client-id=&lt;app-client-id&gt;. The pod template (spec.template.metadata.labels) gets azure.workload.identity/use=“true”.</w:t>
      </w:r>
    </w:p>
    <w:p>
      <w:pPr>
        <w:pStyle w:val="Heading2"/>
        <w:spacing w:after="140" w:before="280"/>
      </w:pPr>
      <w:r>
        <w:rPr>
          <w:rFonts w:ascii="Arial" w:cs="Arial" w:eastAsia="Arial" w:hAnsi="Arial"/>
          <w:b/>
          <w:bCs/>
          <w:sz w:val="26"/>
          <w:szCs w:val="26"/>
        </w:rPr>
        <w:t xml:space="preserve">5.3 What happens at runtime</w:t>
      </w:r>
    </w:p>
    <w:p>
      <w:pPr>
        <w:spacing w:after="120" w:line="300"/>
      </w:pPr>
      <w:r>
        <w:rPr>
          <w:rFonts w:ascii="Arial" w:cs="Arial" w:eastAsia="Arial" w:hAnsi="Arial"/>
          <w:sz w:val="22"/>
          <w:szCs w:val="22"/>
        </w:rPr>
        <w:t xml:space="preserve">Every request the pod makes to an Azure resource goes through this exchange, transparently:</w:t>
      </w:r>
    </w:p>
    <w:p>
      <w:pPr>
        <w:pStyle w:val="ListParagraph"/>
        <w:numPr>
          <w:ilvl w:val="0"/>
          <w:numId w:val="2"/>
        </w:numPr>
        <w:spacing w:after="80" w:line="280"/>
      </w:pPr>
      <w:r>
        <w:rPr>
          <w:rFonts w:ascii="Arial" w:cs="Arial" w:eastAsia="Arial" w:hAnsi="Arial"/>
          <w:sz w:val="22"/>
          <w:szCs w:val="22"/>
        </w:rPr>
        <w:t xml:space="preserve">Pod starts. The Workload Identity webhook has mutated the spec to project a ServiceAccount token into the pod at /var/run/secrets/azure/tokens/azure-identity-token. This token is signed by the Kubernetes API server.</w:t>
      </w:r>
    </w:p>
    <w:p>
      <w:pPr>
        <w:pStyle w:val="ListParagraph"/>
        <w:numPr>
          <w:ilvl w:val="0"/>
          <w:numId w:val="2"/>
        </w:numPr>
        <w:spacing w:after="80" w:line="280"/>
      </w:pPr>
      <w:r>
        <w:rPr>
          <w:rFonts w:ascii="Arial" w:cs="Arial" w:eastAsia="Arial" w:hAnsi="Arial"/>
          <w:sz w:val="22"/>
          <w:szCs w:val="22"/>
        </w:rPr>
        <w:t xml:space="preserve">Application code uses DefaultAzureCredential from the Azure Identity SDK. The SDK reads the AZURE_FEDERATED_TOKEN_FILE environment variable and finds the projected token.</w:t>
      </w:r>
    </w:p>
    <w:p>
      <w:pPr>
        <w:pStyle w:val="ListParagraph"/>
        <w:numPr>
          <w:ilvl w:val="0"/>
          <w:numId w:val="2"/>
        </w:numPr>
        <w:spacing w:after="80" w:line="280"/>
      </w:pPr>
      <w:r>
        <w:rPr>
          <w:rFonts w:ascii="Arial" w:cs="Arial" w:eastAsia="Arial" w:hAnsi="Arial"/>
          <w:sz w:val="22"/>
          <w:szCs w:val="22"/>
        </w:rPr>
        <w:t xml:space="preserve">SDK exchanges the token. It calls the AAD /oauth2/v2.0/token endpoint with the projected token as a client_assertion, naming the target audience (e.g., https://cognitiveservices.azure.com/.default for Azure OpenAI).</w:t>
      </w:r>
    </w:p>
    <w:p>
      <w:pPr>
        <w:pStyle w:val="ListParagraph"/>
        <w:numPr>
          <w:ilvl w:val="0"/>
          <w:numId w:val="2"/>
        </w:numPr>
        <w:spacing w:after="80" w:line="280"/>
      </w:pPr>
      <w:r>
        <w:rPr>
          <w:rFonts w:ascii="Arial" w:cs="Arial" w:eastAsia="Arial" w:hAnsi="Arial"/>
          <w:sz w:val="22"/>
          <w:szCs w:val="22"/>
        </w:rPr>
        <w:t xml:space="preserve">AAD validates the assertion. It verifies the signature against the AKS OIDC issuer's published keys, checks that the sub claim matches the Federated Identity Credential, and confirms the audience.</w:t>
      </w:r>
    </w:p>
    <w:p>
      <w:pPr>
        <w:pStyle w:val="ListParagraph"/>
        <w:numPr>
          <w:ilvl w:val="0"/>
          <w:numId w:val="2"/>
        </w:numPr>
        <w:spacing w:after="80" w:line="280"/>
      </w:pPr>
      <w:r>
        <w:rPr>
          <w:rFonts w:ascii="Arial" w:cs="Arial" w:eastAsia="Arial" w:hAnsi="Arial"/>
          <w:sz w:val="22"/>
          <w:szCs w:val="22"/>
        </w:rPr>
        <w:t xml:space="preserve">AAD issues an access token. Scoped to the AAD app's permissions, with a TTL (typically 1 hour).</w:t>
      </w:r>
    </w:p>
    <w:p>
      <w:pPr>
        <w:pStyle w:val="ListParagraph"/>
        <w:numPr>
          <w:ilvl w:val="0"/>
          <w:numId w:val="2"/>
        </w:numPr>
        <w:spacing w:after="80" w:line="280"/>
      </w:pPr>
      <w:r>
        <w:rPr>
          <w:rFonts w:ascii="Arial" w:cs="Arial" w:eastAsia="Arial" w:hAnsi="Arial"/>
          <w:sz w:val="22"/>
          <w:szCs w:val="22"/>
        </w:rPr>
        <w:t xml:space="preserve">Application uses the access token to call Azure OpenAI / AI Search / Cosmos / Key Vault. The SDK caches the token and refreshes automatically before expiry.</w:t>
      </w:r>
    </w:p>
    <w:p>
      <w:pPr>
        <w:pStyle w:val="Heading2"/>
        <w:spacing w:after="140" w:before="280"/>
      </w:pPr>
      <w:r>
        <w:rPr>
          <w:rFonts w:ascii="Arial" w:cs="Arial" w:eastAsia="Arial" w:hAnsi="Arial"/>
          <w:b/>
          <w:bCs/>
          <w:sz w:val="26"/>
          <w:szCs w:val="26"/>
        </w:rPr>
        <w:t xml:space="preserve">5.4 The trust chain</w:t>
      </w:r>
    </w:p>
    <w:p>
      <w:pPr>
        <w:spacing w:after="120" w:line="300"/>
      </w:pPr>
      <w:r>
        <w:rPr>
          <w:rFonts w:ascii="Arial" w:cs="Arial" w:eastAsia="Arial" w:hAnsi="Arial"/>
          <w:sz w:val="22"/>
          <w:szCs w:val="22"/>
        </w:rPr>
        <w:t xml:space="preserve">Reading the chain from token to resource:</w:t>
      </w:r>
    </w:p>
    <w:p>
      <w:pPr>
        <w:pStyle w:val="ListParagraph"/>
        <w:numPr>
          <w:ilvl w:val="0"/>
          <w:numId w:val="2"/>
        </w:numPr>
        <w:spacing w:after="80" w:line="280"/>
      </w:pPr>
      <w:r>
        <w:rPr>
          <w:rFonts w:ascii="Arial" w:cs="Arial" w:eastAsia="Arial" w:hAnsi="Arial"/>
          <w:sz w:val="22"/>
          <w:szCs w:val="22"/>
        </w:rPr>
        <w:t xml:space="preserve">Kubernetes signs ServiceAccount tokens with its own keys.</w:t>
      </w:r>
    </w:p>
    <w:p>
      <w:pPr>
        <w:pStyle w:val="ListParagraph"/>
        <w:numPr>
          <w:ilvl w:val="0"/>
          <w:numId w:val="2"/>
        </w:numPr>
        <w:spacing w:after="80" w:line="280"/>
      </w:pPr>
      <w:r>
        <w:rPr>
          <w:rFonts w:ascii="Arial" w:cs="Arial" w:eastAsia="Arial" w:hAnsi="Arial"/>
          <w:sz w:val="22"/>
          <w:szCs w:val="22"/>
        </w:rPr>
        <w:t xml:space="preserve">The AKS OIDC issuer publishes those keys at a public URL.</w:t>
      </w:r>
    </w:p>
    <w:p>
      <w:pPr>
        <w:pStyle w:val="ListParagraph"/>
        <w:numPr>
          <w:ilvl w:val="0"/>
          <w:numId w:val="2"/>
        </w:numPr>
        <w:spacing w:after="80" w:line="280"/>
      </w:pPr>
      <w:r>
        <w:rPr>
          <w:rFonts w:ascii="Arial" w:cs="Arial" w:eastAsia="Arial" w:hAnsi="Arial"/>
          <w:sz w:val="22"/>
          <w:szCs w:val="22"/>
        </w:rPr>
        <w:t xml:space="preserve">Azure AD trusts the OIDC issuer (configured by the Federated Identity Credential on the AAD app).</w:t>
      </w:r>
    </w:p>
    <w:p>
      <w:pPr>
        <w:pStyle w:val="ListParagraph"/>
        <w:numPr>
          <w:ilvl w:val="0"/>
          <w:numId w:val="2"/>
        </w:numPr>
        <w:spacing w:after="80" w:line="280"/>
      </w:pPr>
      <w:r>
        <w:rPr>
          <w:rFonts w:ascii="Arial" w:cs="Arial" w:eastAsia="Arial" w:hAnsi="Arial"/>
          <w:sz w:val="22"/>
          <w:szCs w:val="22"/>
        </w:rPr>
        <w:t xml:space="preserve">Azure RBAC trusts the AAD app (configured by role assignments on each target resource).</w:t>
      </w:r>
    </w:p>
    <w:p>
      <w:pPr>
        <w:pStyle w:val="ListParagraph"/>
        <w:numPr>
          <w:ilvl w:val="0"/>
          <w:numId w:val="2"/>
        </w:numPr>
        <w:spacing w:after="80" w:line="280"/>
      </w:pPr>
      <w:r>
        <w:rPr>
          <w:rFonts w:ascii="Arial" w:cs="Arial" w:eastAsia="Arial" w:hAnsi="Arial"/>
          <w:sz w:val="22"/>
          <w:szCs w:val="22"/>
        </w:rPr>
        <w:t xml:space="preserve">The pod → AAD → Azure resource flow holds no static secret anywhere along the path.</w:t>
      </w:r>
    </w:p>
    <w:p>
      <w:pPr>
        <w:spacing w:after="120" w:line="300"/>
      </w:pPr>
      <w:r>
        <w:rPr>
          <w:rFonts w:ascii="Arial" w:cs="Arial" w:eastAsia="Arial" w:hAnsi="Arial"/>
          <w:sz w:val="22"/>
          <w:szCs w:val="22"/>
        </w:rPr>
        <w:t xml:space="preserve">The audit trail is correspondingly clean. Every call to Azure OpenAI carries the AAD app's identity; every call to Cosmos shows the same. RBAC denies any access not explicitly granted. Rotation is automatic — tokens expire and are reissued without operator intervention.</w:t>
      </w:r>
    </w:p>
    <w:p>
      <w:pPr>
        <w:pStyle w:val="Heading2"/>
        <w:spacing w:after="140" w:before="280"/>
      </w:pPr>
      <w:r>
        <w:rPr>
          <w:rFonts w:ascii="Arial" w:cs="Arial" w:eastAsia="Arial" w:hAnsi="Arial"/>
          <w:b/>
          <w:bCs/>
          <w:sz w:val="26"/>
          <w:szCs w:val="26"/>
        </w:rPr>
        <w:t xml:space="preserve">5.5 Common failure modes</w:t>
      </w:r>
    </w:p>
    <w:p>
      <w:pPr>
        <w:pStyle w:val="ListParagraph"/>
        <w:numPr>
          <w:ilvl w:val="0"/>
          <w:numId w:val="2"/>
        </w:numPr>
        <w:spacing w:after="80" w:line="280"/>
      </w:pPr>
      <w:r>
        <w:rPr>
          <w:rFonts w:ascii="Arial" w:cs="Arial" w:eastAsia="Arial" w:hAnsi="Arial"/>
          <w:b/>
          <w:bCs/>
          <w:sz w:val="22"/>
          <w:szCs w:val="22"/>
        </w:rPr>
        <w:t xml:space="preserve">Subject mismatch. </w:t>
      </w:r>
      <w:r>
        <w:rPr>
          <w:rFonts w:ascii="Arial" w:cs="Arial" w:eastAsia="Arial" w:hAnsi="Arial"/>
          <w:sz w:val="22"/>
          <w:szCs w:val="22"/>
        </w:rPr>
        <w:t xml:space="preserve">The Federated Identity Credential's subject must exactly match system:serviceaccount:&lt;namespace&gt;:&lt;serviceaccount-name&gt;. A namespace rename or ServiceAccount rename breaks the trust without any visible warning until the next token exchange returns AADSTS70021.</w:t>
      </w:r>
    </w:p>
    <w:p>
      <w:pPr>
        <w:pStyle w:val="ListParagraph"/>
        <w:numPr>
          <w:ilvl w:val="0"/>
          <w:numId w:val="2"/>
        </w:numPr>
        <w:spacing w:after="80" w:line="280"/>
      </w:pPr>
      <w:r>
        <w:rPr>
          <w:rFonts w:ascii="Arial" w:cs="Arial" w:eastAsia="Arial" w:hAnsi="Arial"/>
          <w:b/>
          <w:bCs/>
          <w:sz w:val="22"/>
          <w:szCs w:val="22"/>
        </w:rPr>
        <w:t xml:space="preserve">Missing pod label. </w:t>
      </w:r>
      <w:r>
        <w:rPr>
          <w:rFonts w:ascii="Arial" w:cs="Arial" w:eastAsia="Arial" w:hAnsi="Arial"/>
          <w:sz w:val="22"/>
          <w:szCs w:val="22"/>
        </w:rPr>
        <w:t xml:space="preserve">The azure.workload.identity/use=“true” label is required on the pod template, not on the ServiceAccount. Forgetting it means the webhook does not mutate the spec and the application receives no projected token.</w:t>
      </w:r>
    </w:p>
    <w:p>
      <w:pPr>
        <w:pStyle w:val="ListParagraph"/>
        <w:numPr>
          <w:ilvl w:val="0"/>
          <w:numId w:val="2"/>
        </w:numPr>
        <w:spacing w:after="80" w:line="280"/>
      </w:pPr>
      <w:r>
        <w:rPr>
          <w:rFonts w:ascii="Arial" w:cs="Arial" w:eastAsia="Arial" w:hAnsi="Arial"/>
          <w:b/>
          <w:bCs/>
          <w:sz w:val="22"/>
          <w:szCs w:val="22"/>
        </w:rPr>
        <w:t xml:space="preserve">RBAC scope errors. </w:t>
      </w:r>
      <w:r>
        <w:rPr>
          <w:rFonts w:ascii="Arial" w:cs="Arial" w:eastAsia="Arial" w:hAnsi="Arial"/>
          <w:sz w:val="22"/>
          <w:szCs w:val="22"/>
        </w:rPr>
        <w:t xml:space="preserve">Granting “Cognitive Services User” at the wrong scope (subscription vs. resource) silently works in dev and fails in production. Standardize on resource-scoped assignments.</w:t>
      </w:r>
    </w:p>
    <w:p>
      <w:pPr>
        <w:pStyle w:val="ListParagraph"/>
        <w:numPr>
          <w:ilvl w:val="0"/>
          <w:numId w:val="2"/>
        </w:numPr>
        <w:spacing w:after="80" w:line="280"/>
      </w:pPr>
      <w:r>
        <w:rPr>
          <w:rFonts w:ascii="Arial" w:cs="Arial" w:eastAsia="Arial" w:hAnsi="Arial"/>
          <w:b/>
          <w:bCs/>
          <w:sz w:val="22"/>
          <w:szCs w:val="22"/>
        </w:rPr>
        <w:t xml:space="preserve">Multi-tenant confusion. </w:t>
      </w:r>
      <w:r>
        <w:rPr>
          <w:rFonts w:ascii="Arial" w:cs="Arial" w:eastAsia="Arial" w:hAnsi="Arial"/>
          <w:sz w:val="22"/>
          <w:szCs w:val="22"/>
        </w:rPr>
        <w:t xml:space="preserve">If the AAD app lives in a different tenant from the AKS cluster's identity, the Federated Identity Credential must be configured in the AAD app's home tenant; cross-tenant federation is a separate configuration path.</w:t>
      </w:r>
    </w:p>
    <w:p>
      <w:r>
        <w:br w:type="page"/>
      </w:r>
    </w:p>
    <w:p>
      <w:pPr>
        <w:pStyle w:val="Heading1"/>
        <w:spacing w:after="180" w:before="360"/>
      </w:pPr>
      <w:r>
        <w:rPr>
          <w:rFonts w:ascii="Arial" w:cs="Arial" w:eastAsia="Arial" w:hAnsi="Arial"/>
          <w:b/>
          <w:bCs/>
          <w:sz w:val="32"/>
          <w:szCs w:val="32"/>
        </w:rPr>
        <w:t xml:space="preserve">6. Failure modes and resilience patterns</w:t>
      </w:r>
    </w:p>
    <w:p>
      <w:pPr>
        <w:spacing w:after="120" w:line="300"/>
      </w:pPr>
      <w:r>
        <w:rPr>
          <w:rFonts w:ascii="Arial" w:cs="Arial" w:eastAsia="Arial" w:hAnsi="Arial"/>
          <w:sz w:val="22"/>
          <w:szCs w:val="22"/>
        </w:rPr>
        <w:t xml:space="preserve">The orchestrator depends on five external services. Each fails differently and degrades the system in distinct ways. This section walks the failure mode of each, the detection signals, the mitigation pattern, and the cascade-prevention controls that keep one slow dependency from taking down the platform.</w:t>
      </w:r>
    </w:p>
    <w:p>
      <w:pPr>
        <w:pStyle w:val="Heading2"/>
        <w:spacing w:after="140" w:before="280"/>
      </w:pPr>
      <w:r>
        <w:rPr>
          <w:rFonts w:ascii="Arial" w:cs="Arial" w:eastAsia="Arial" w:hAnsi="Arial"/>
          <w:b/>
          <w:bCs/>
          <w:sz w:val="26"/>
          <w:szCs w:val="26"/>
        </w:rPr>
        <w:t xml:space="preserve">6.1 Azure OpenAI throttling</w:t>
      </w:r>
    </w:p>
    <w:p>
      <w:pPr>
        <w:spacing w:after="120" w:line="300"/>
      </w:pPr>
      <w:r>
        <w:rPr>
          <w:rFonts w:ascii="Arial" w:cs="Arial" w:eastAsia="Arial" w:hAnsi="Arial"/>
          <w:sz w:val="22"/>
          <w:szCs w:val="22"/>
        </w:rPr>
        <w:t xml:space="preserve">What happens. The deployment hits its TPM (tokens per minute) or RPM (requests per minute) quota. The API returns HTTP 429 with a retry-after header. For Provisioned Throughput Units (PTUs), excess requests get 429s; for pay-as-you-go (PAYG), regional capacity limits apply and 429s indicate the region is under pressure.</w:t>
      </w:r>
    </w:p>
    <w:p>
      <w:pPr>
        <w:spacing w:after="120" w:line="300"/>
      </w:pPr>
      <w:r>
        <w:rPr>
          <w:rFonts w:ascii="Arial" w:cs="Arial" w:eastAsia="Arial" w:hAnsi="Arial"/>
          <w:sz w:val="22"/>
          <w:szCs w:val="22"/>
        </w:rPr>
        <w:t xml:space="preserve">Detection signals.</w:t>
      </w:r>
    </w:p>
    <w:p>
      <w:pPr>
        <w:pStyle w:val="ListParagraph"/>
        <w:numPr>
          <w:ilvl w:val="0"/>
          <w:numId w:val="2"/>
        </w:numPr>
        <w:spacing w:after="80" w:line="280"/>
      </w:pPr>
      <w:r>
        <w:rPr>
          <w:rFonts w:ascii="Arial" w:cs="Arial" w:eastAsia="Arial" w:hAnsi="Arial"/>
          <w:sz w:val="22"/>
          <w:szCs w:val="22"/>
        </w:rPr>
        <w:t xml:space="preserve">429 error-rate spike in App Insights, broken down by deployment name.</w:t>
      </w:r>
    </w:p>
    <w:p>
      <w:pPr>
        <w:pStyle w:val="ListParagraph"/>
        <w:numPr>
          <w:ilvl w:val="0"/>
          <w:numId w:val="2"/>
        </w:numPr>
        <w:spacing w:after="80" w:line="280"/>
      </w:pPr>
      <w:r>
        <w:rPr>
          <w:rFonts w:ascii="Arial" w:cs="Arial" w:eastAsia="Arial" w:hAnsi="Arial"/>
          <w:sz w:val="22"/>
          <w:szCs w:val="22"/>
        </w:rPr>
        <w:t xml:space="preserve">Latency spike before 429s appear — requests queue at the edge before they are rejected.</w:t>
      </w:r>
    </w:p>
    <w:p>
      <w:pPr>
        <w:pStyle w:val="ListParagraph"/>
        <w:numPr>
          <w:ilvl w:val="0"/>
          <w:numId w:val="2"/>
        </w:numPr>
        <w:spacing w:after="80" w:line="280"/>
      </w:pPr>
      <w:r>
        <w:rPr>
          <w:rFonts w:ascii="Arial" w:cs="Arial" w:eastAsia="Arial" w:hAnsi="Arial"/>
          <w:sz w:val="22"/>
          <w:szCs w:val="22"/>
        </w:rPr>
        <w:t xml:space="preserve">Custom metric: tokens consumed per minute vs. provisioned TPM, plotted in Grafana.</w:t>
      </w:r>
    </w:p>
    <w:p>
      <w:pPr>
        <w:spacing w:after="120" w:line="300"/>
      </w:pPr>
      <w:r>
        <w:rPr>
          <w:rFonts w:ascii="Arial" w:cs="Arial" w:eastAsia="Arial" w:hAnsi="Arial"/>
          <w:sz w:val="22"/>
          <w:szCs w:val="22"/>
        </w:rPr>
        <w:t xml:space="preserve">Mitigation.</w:t>
      </w:r>
    </w:p>
    <w:p>
      <w:pPr>
        <w:pStyle w:val="ListParagraph"/>
        <w:numPr>
          <w:ilvl w:val="0"/>
          <w:numId w:val="2"/>
        </w:numPr>
        <w:spacing w:after="80" w:line="280"/>
      </w:pPr>
      <w:r>
        <w:rPr>
          <w:rFonts w:ascii="Arial" w:cs="Arial" w:eastAsia="Arial" w:hAnsi="Arial"/>
          <w:sz w:val="22"/>
          <w:szCs w:val="22"/>
        </w:rPr>
        <w:t xml:space="preserve">Retry with exponential backoff + jitter. Honor the retry-after header; do not retry faster than it allows.</w:t>
      </w:r>
    </w:p>
    <w:p>
      <w:pPr>
        <w:pStyle w:val="ListParagraph"/>
        <w:numPr>
          <w:ilvl w:val="0"/>
          <w:numId w:val="2"/>
        </w:numPr>
        <w:spacing w:after="80" w:line="280"/>
      </w:pPr>
      <w:r>
        <w:rPr>
          <w:rFonts w:ascii="Arial" w:cs="Arial" w:eastAsia="Arial" w:hAnsi="Arial"/>
          <w:sz w:val="22"/>
          <w:szCs w:val="22"/>
        </w:rPr>
        <w:t xml:space="preserve">Token-bucket rate limiter at the orchestrator. A semaphore caps concurrent in-flight OpenAI calls below the published TPM limit so the orchestrator self-paces.</w:t>
      </w:r>
    </w:p>
    <w:p>
      <w:pPr>
        <w:pStyle w:val="ListParagraph"/>
        <w:numPr>
          <w:ilvl w:val="0"/>
          <w:numId w:val="2"/>
        </w:numPr>
        <w:spacing w:after="80" w:line="280"/>
      </w:pPr>
      <w:r>
        <w:rPr>
          <w:rFonts w:ascii="Arial" w:cs="Arial" w:eastAsia="Arial" w:hAnsi="Arial"/>
          <w:sz w:val="22"/>
          <w:szCs w:val="22"/>
        </w:rPr>
        <w:t xml:space="preserve">Multi-region fallback. Primary deployment in East US, secondary in West Europe; the orchestrator fails over on sustained 429s. Latency impact is acceptable for non-streaming agent calls; streaming the final response stays on primary or warns the user.</w:t>
      </w:r>
    </w:p>
    <w:p>
      <w:pPr>
        <w:pStyle w:val="ListParagraph"/>
        <w:numPr>
          <w:ilvl w:val="0"/>
          <w:numId w:val="2"/>
        </w:numPr>
        <w:spacing w:after="80" w:line="280"/>
      </w:pPr>
      <w:r>
        <w:rPr>
          <w:rFonts w:ascii="Arial" w:cs="Arial" w:eastAsia="Arial" w:hAnsi="Arial"/>
          <w:sz w:val="22"/>
          <w:szCs w:val="22"/>
        </w:rPr>
        <w:t xml:space="preserve">Smaller-model fallback. If GPT-4o is throttled, downgrade non-critical agents (ontology normalization, summarization scaffolding) to GPT-4o-mini. The Knowledge and Drug Safety agents stay on GPT-4o.</w:t>
      </w:r>
    </w:p>
    <w:p>
      <w:pPr>
        <w:pStyle w:val="ListParagraph"/>
        <w:numPr>
          <w:ilvl w:val="0"/>
          <w:numId w:val="2"/>
        </w:numPr>
        <w:spacing w:after="80" w:line="280"/>
      </w:pPr>
      <w:r>
        <w:rPr>
          <w:rFonts w:ascii="Arial" w:cs="Arial" w:eastAsia="Arial" w:hAnsi="Arial"/>
          <w:sz w:val="22"/>
          <w:szCs w:val="22"/>
        </w:rPr>
        <w:t xml:space="preserve">Request batching. Where the agent graph permits, combine related agent calls into a single OpenAI request (multi-turn or structured output) to reduce request count.</w:t>
      </w:r>
    </w:p>
    <w:p>
      <w:pPr>
        <w:pStyle w:val="ListParagraph"/>
        <w:numPr>
          <w:ilvl w:val="0"/>
          <w:numId w:val="2"/>
        </w:numPr>
        <w:spacing w:after="80" w:line="280"/>
      </w:pPr>
      <w:r>
        <w:rPr>
          <w:rFonts w:ascii="Arial" w:cs="Arial" w:eastAsia="Arial" w:hAnsi="Arial"/>
          <w:sz w:val="22"/>
          <w:szCs w:val="22"/>
        </w:rPr>
        <w:t xml:space="preserve">PTU reservation. For production, reserve PTUs to get predictable capacity; keep PAYG as overflow only. This is the single most effective lever against PAYG noise.</w:t>
      </w:r>
    </w:p>
    <w:p>
      <w:pPr>
        <w:pStyle w:val="Heading2"/>
        <w:spacing w:after="140" w:before="280"/>
      </w:pPr>
      <w:r>
        <w:rPr>
          <w:rFonts w:ascii="Arial" w:cs="Arial" w:eastAsia="Arial" w:hAnsi="Arial"/>
          <w:b/>
          <w:bCs/>
          <w:sz w:val="26"/>
          <w:szCs w:val="26"/>
        </w:rPr>
        <w:t xml:space="preserve">6.2 Azure AI Search degradation</w:t>
      </w:r>
    </w:p>
    <w:p>
      <w:pPr>
        <w:spacing w:after="120" w:line="300"/>
      </w:pPr>
      <w:r>
        <w:rPr>
          <w:rFonts w:ascii="Arial" w:cs="Arial" w:eastAsia="Arial" w:hAnsi="Arial"/>
          <w:sz w:val="22"/>
          <w:szCs w:val="22"/>
        </w:rPr>
        <w:t xml:space="preserve">What happens. Vector and hybrid search latency spikes when replicas are backed up, when hot indexes saturate, or when a hot query monopolizes resources. Partial unavailability occurs when one replica drops and the fan-out times out. Full unavailability is rare but does happen during service incidents.</w:t>
      </w:r>
    </w:p>
    <w:p>
      <w:pPr>
        <w:spacing w:after="120" w:line="300"/>
      </w:pPr>
      <w:r>
        <w:rPr>
          <w:rFonts w:ascii="Arial" w:cs="Arial" w:eastAsia="Arial" w:hAnsi="Arial"/>
          <w:sz w:val="22"/>
          <w:szCs w:val="22"/>
        </w:rPr>
        <w:t xml:space="preserve">Detection signals.</w:t>
      </w:r>
    </w:p>
    <w:p>
      <w:pPr>
        <w:pStyle w:val="ListParagraph"/>
        <w:numPr>
          <w:ilvl w:val="0"/>
          <w:numId w:val="2"/>
        </w:numPr>
        <w:spacing w:after="80" w:line="280"/>
      </w:pPr>
      <w:r>
        <w:rPr>
          <w:rFonts w:ascii="Arial" w:cs="Arial" w:eastAsia="Arial" w:hAnsi="Arial"/>
          <w:sz w:val="22"/>
          <w:szCs w:val="22"/>
        </w:rPr>
        <w:t xml:space="preserve">p95 vector-search latency exceeds 200 ms against a baseline of 80 ms.</w:t>
      </w:r>
    </w:p>
    <w:p>
      <w:pPr>
        <w:pStyle w:val="ListParagraph"/>
        <w:numPr>
          <w:ilvl w:val="0"/>
          <w:numId w:val="2"/>
        </w:numPr>
        <w:spacing w:after="80" w:line="280"/>
      </w:pPr>
      <w:r>
        <w:rPr>
          <w:rFonts w:ascii="Arial" w:cs="Arial" w:eastAsia="Arial" w:hAnsi="Arial"/>
          <w:sz w:val="22"/>
          <w:szCs w:val="22"/>
        </w:rPr>
        <w:t xml:space="preserve">Failed query rate from the AI Search client increases.</w:t>
      </w:r>
    </w:p>
    <w:p>
      <w:pPr>
        <w:pStyle w:val="ListParagraph"/>
        <w:numPr>
          <w:ilvl w:val="0"/>
          <w:numId w:val="2"/>
        </w:numPr>
        <w:spacing w:after="80" w:line="280"/>
      </w:pPr>
      <w:r>
        <w:rPr>
          <w:rFonts w:ascii="Arial" w:cs="Arial" w:eastAsia="Arial" w:hAnsi="Arial"/>
          <w:sz w:val="22"/>
          <w:szCs w:val="22"/>
        </w:rPr>
        <w:t xml:space="preserve">HTTP 503 from /indexes/{name}/docs/search.</w:t>
      </w:r>
    </w:p>
    <w:p>
      <w:pPr>
        <w:spacing w:after="120" w:line="300"/>
      </w:pPr>
      <w:r>
        <w:rPr>
          <w:rFonts w:ascii="Arial" w:cs="Arial" w:eastAsia="Arial" w:hAnsi="Arial"/>
          <w:sz w:val="22"/>
          <w:szCs w:val="22"/>
        </w:rPr>
        <w:t xml:space="preserve">Mitigation.</w:t>
      </w:r>
    </w:p>
    <w:p>
      <w:pPr>
        <w:pStyle w:val="ListParagraph"/>
        <w:numPr>
          <w:ilvl w:val="0"/>
          <w:numId w:val="2"/>
        </w:numPr>
        <w:spacing w:after="80" w:line="280"/>
      </w:pPr>
      <w:r>
        <w:rPr>
          <w:rFonts w:ascii="Arial" w:cs="Arial" w:eastAsia="Arial" w:hAnsi="Arial"/>
          <w:sz w:val="22"/>
          <w:szCs w:val="22"/>
        </w:rPr>
        <w:t xml:space="preserve">Aggressive client-side timeouts. 300 ms hard cap on a search call; do not block the orchestrator on a slow index.</w:t>
      </w:r>
    </w:p>
    <w:p>
      <w:pPr>
        <w:pStyle w:val="ListParagraph"/>
        <w:numPr>
          <w:ilvl w:val="0"/>
          <w:numId w:val="2"/>
        </w:numPr>
        <w:spacing w:after="80" w:line="280"/>
      </w:pPr>
      <w:r>
        <w:rPr>
          <w:rFonts w:ascii="Arial" w:cs="Arial" w:eastAsia="Arial" w:hAnsi="Arial"/>
          <w:sz w:val="22"/>
          <w:szCs w:val="22"/>
        </w:rPr>
        <w:t xml:space="preserve">Scale replicas. AI Search supports independent scaling of replicas (query throughput) and partitions (index size). Add replicas during peak hours.</w:t>
      </w:r>
    </w:p>
    <w:p>
      <w:pPr>
        <w:pStyle w:val="ListParagraph"/>
        <w:numPr>
          <w:ilvl w:val="0"/>
          <w:numId w:val="2"/>
        </w:numPr>
        <w:spacing w:after="80" w:line="280"/>
      </w:pPr>
      <w:r>
        <w:rPr>
          <w:rFonts w:ascii="Arial" w:cs="Arial" w:eastAsia="Arial" w:hAnsi="Arial"/>
          <w:sz w:val="22"/>
          <w:szCs w:val="22"/>
        </w:rPr>
        <w:t xml:space="preserve">Result caching. Cache search results in Redis with a 5-minute TTL keyed by query embedding hash. Repeat queries pay no AI Search cost.</w:t>
      </w:r>
    </w:p>
    <w:p>
      <w:pPr>
        <w:pStyle w:val="ListParagraph"/>
        <w:numPr>
          <w:ilvl w:val="0"/>
          <w:numId w:val="2"/>
        </w:numPr>
        <w:spacing w:after="80" w:line="280"/>
      </w:pPr>
      <w:r>
        <w:rPr>
          <w:rFonts w:ascii="Arial" w:cs="Arial" w:eastAsia="Arial" w:hAnsi="Arial"/>
          <w:sz w:val="22"/>
          <w:szCs w:val="22"/>
        </w:rPr>
        <w:t xml:space="preserve">Lexical fallback. If hybrid search times out, fall back to BM25-only on the same index. Quality is lower but the system stays responsive.</w:t>
      </w:r>
    </w:p>
    <w:p>
      <w:pPr>
        <w:pStyle w:val="ListParagraph"/>
        <w:numPr>
          <w:ilvl w:val="0"/>
          <w:numId w:val="2"/>
        </w:numPr>
        <w:spacing w:after="80" w:line="280"/>
      </w:pPr>
      <w:r>
        <w:rPr>
          <w:rFonts w:ascii="Arial" w:cs="Arial" w:eastAsia="Arial" w:hAnsi="Arial"/>
          <w:sz w:val="22"/>
          <w:szCs w:val="22"/>
        </w:rPr>
        <w:t xml:space="preserve">Pre-warm hot queries. A scheduled job re-issues common queries to keep cache and replica caches warm.</w:t>
      </w:r>
    </w:p>
    <w:p>
      <w:pPr>
        <w:pStyle w:val="Heading2"/>
        <w:spacing w:after="140" w:before="280"/>
      </w:pPr>
      <w:r>
        <w:rPr>
          <w:rFonts w:ascii="Arial" w:cs="Arial" w:eastAsia="Arial" w:hAnsi="Arial"/>
          <w:b/>
          <w:bCs/>
          <w:sz w:val="26"/>
          <w:szCs w:val="26"/>
        </w:rPr>
        <w:t xml:space="preserve">6.3 Cosmos DB write-latency spikes</w:t>
      </w:r>
    </w:p>
    <w:p>
      <w:pPr>
        <w:spacing w:after="120" w:line="300"/>
      </w:pPr>
      <w:r>
        <w:rPr>
          <w:rFonts w:ascii="Arial" w:cs="Arial" w:eastAsia="Arial" w:hAnsi="Arial"/>
          <w:sz w:val="22"/>
          <w:szCs w:val="22"/>
        </w:rPr>
        <w:t xml:space="preserve">What happens. RU (Request Unit) exhaustion produces 429s with retry-after. A hot partition — audit logs all sharing a date-only partition key — causes a single physical partition to saturate while others are idle. Cross-region replication lag matters only if multi-region writes are configured.</w:t>
      </w:r>
    </w:p>
    <w:p>
      <w:pPr>
        <w:spacing w:after="120" w:line="300"/>
      </w:pPr>
      <w:r>
        <w:rPr>
          <w:rFonts w:ascii="Arial" w:cs="Arial" w:eastAsia="Arial" w:hAnsi="Arial"/>
          <w:sz w:val="22"/>
          <w:szCs w:val="22"/>
        </w:rPr>
        <w:t xml:space="preserve">Detection signals.</w:t>
      </w:r>
    </w:p>
    <w:p>
      <w:pPr>
        <w:pStyle w:val="ListParagraph"/>
        <w:numPr>
          <w:ilvl w:val="0"/>
          <w:numId w:val="2"/>
        </w:numPr>
        <w:spacing w:after="80" w:line="280"/>
      </w:pPr>
      <w:r>
        <w:rPr>
          <w:rFonts w:ascii="Arial" w:cs="Arial" w:eastAsia="Arial" w:hAnsi="Arial"/>
          <w:sz w:val="22"/>
          <w:szCs w:val="22"/>
        </w:rPr>
        <w:t xml:space="preserve">Throttled requests metric in Azure Monitor for the audit container.</w:t>
      </w:r>
    </w:p>
    <w:p>
      <w:pPr>
        <w:pStyle w:val="ListParagraph"/>
        <w:numPr>
          <w:ilvl w:val="0"/>
          <w:numId w:val="2"/>
        </w:numPr>
        <w:spacing w:after="80" w:line="280"/>
      </w:pPr>
      <w:r>
        <w:rPr>
          <w:rFonts w:ascii="Arial" w:cs="Arial" w:eastAsia="Arial" w:hAnsi="Arial"/>
          <w:sz w:val="22"/>
          <w:szCs w:val="22"/>
        </w:rPr>
        <w:t xml:space="preserve">p95 write latency exceeds 100 ms against a baseline of 20 ms.</w:t>
      </w:r>
    </w:p>
    <w:p>
      <w:pPr>
        <w:pStyle w:val="ListParagraph"/>
        <w:numPr>
          <w:ilvl w:val="0"/>
          <w:numId w:val="2"/>
        </w:numPr>
        <w:spacing w:after="80" w:line="280"/>
      </w:pPr>
      <w:r>
        <w:rPr>
          <w:rFonts w:ascii="Arial" w:cs="Arial" w:eastAsia="Arial" w:hAnsi="Arial"/>
          <w:sz w:val="22"/>
          <w:szCs w:val="22"/>
        </w:rPr>
        <w:t xml:space="preserve">Failed audit-write events surface in App Insights as dependency failures.</w:t>
      </w:r>
    </w:p>
    <w:p>
      <w:pPr>
        <w:spacing w:after="120" w:line="300"/>
      </w:pPr>
      <w:r>
        <w:rPr>
          <w:rFonts w:ascii="Arial" w:cs="Arial" w:eastAsia="Arial" w:hAnsi="Arial"/>
          <w:sz w:val="22"/>
          <w:szCs w:val="22"/>
        </w:rPr>
        <w:t xml:space="preserve">Mitigation.</w:t>
      </w:r>
    </w:p>
    <w:p>
      <w:pPr>
        <w:pStyle w:val="ListParagraph"/>
        <w:numPr>
          <w:ilvl w:val="0"/>
          <w:numId w:val="2"/>
        </w:numPr>
        <w:spacing w:after="80" w:line="280"/>
      </w:pPr>
      <w:r>
        <w:rPr>
          <w:rFonts w:ascii="Arial" w:cs="Arial" w:eastAsia="Arial" w:hAnsi="Arial"/>
          <w:sz w:val="22"/>
          <w:szCs w:val="22"/>
        </w:rPr>
        <w:t xml:space="preserve">Autoscale RUs. Configure min/max RUs so Cosmos handles burst writes without intervention; the cost premium over fixed RUs is small relative to the operational simplicity.</w:t>
      </w:r>
    </w:p>
    <w:p>
      <w:pPr>
        <w:pStyle w:val="ListParagraph"/>
        <w:numPr>
          <w:ilvl w:val="0"/>
          <w:numId w:val="2"/>
        </w:numPr>
        <w:spacing w:after="80" w:line="280"/>
      </w:pPr>
      <w:r>
        <w:rPr>
          <w:rFonts w:ascii="Arial" w:cs="Arial" w:eastAsia="Arial" w:hAnsi="Arial"/>
          <w:sz w:val="22"/>
          <w:szCs w:val="22"/>
        </w:rPr>
        <w:t xml:space="preserve">Partition-key design. Use a high-cardinality key (a hash of session-id or user-id) for audit writes; never a date-only key, which guarantees a hot partition.</w:t>
      </w:r>
    </w:p>
    <w:p>
      <w:pPr>
        <w:pStyle w:val="ListParagraph"/>
        <w:numPr>
          <w:ilvl w:val="0"/>
          <w:numId w:val="2"/>
        </w:numPr>
        <w:spacing w:after="80" w:line="280"/>
      </w:pPr>
      <w:r>
        <w:rPr>
          <w:rFonts w:ascii="Arial" w:cs="Arial" w:eastAsia="Arial" w:hAnsi="Arial"/>
          <w:sz w:val="22"/>
          <w:szCs w:val="22"/>
        </w:rPr>
        <w:t xml:space="preserve">Async, non-blocking writes. The orchestrator fires audit writes via the async Cosmos SDK and does not block the user response on confirmation. Writes are best-effort from the user's path.</w:t>
      </w:r>
    </w:p>
    <w:p>
      <w:pPr>
        <w:pStyle w:val="ListParagraph"/>
        <w:numPr>
          <w:ilvl w:val="0"/>
          <w:numId w:val="2"/>
        </w:numPr>
        <w:spacing w:after="80" w:line="280"/>
      </w:pPr>
      <w:r>
        <w:rPr>
          <w:rFonts w:ascii="Arial" w:cs="Arial" w:eastAsia="Arial" w:hAnsi="Arial"/>
          <w:sz w:val="22"/>
          <w:szCs w:val="22"/>
        </w:rPr>
        <w:t xml:space="preserve">Bulk writes. Batch audit events with the BulkExecutor where the audit semantics allow.</w:t>
      </w:r>
    </w:p>
    <w:p>
      <w:pPr>
        <w:pStyle w:val="ListParagraph"/>
        <w:numPr>
          <w:ilvl w:val="0"/>
          <w:numId w:val="2"/>
        </w:numPr>
        <w:spacing w:after="80" w:line="280"/>
      </w:pPr>
      <w:r>
        <w:rPr>
          <w:rFonts w:ascii="Arial" w:cs="Arial" w:eastAsia="Arial" w:hAnsi="Arial"/>
          <w:sz w:val="22"/>
          <w:szCs w:val="22"/>
        </w:rPr>
        <w:t xml:space="preserve">Dead-letter queue. If a Cosmos write fails after retries, push the event to Service Bus DLQ for later replay. The audit record is preserved even if the primary path is degraded.</w:t>
      </w:r>
    </w:p>
    <w:p>
      <w:pPr>
        <w:spacing w:after="120" w:line="300"/>
      </w:pPr>
      <w:r>
        <w:rPr>
          <w:rFonts w:ascii="Arial" w:cs="Arial" w:eastAsia="Arial" w:hAnsi="Arial"/>
          <w:sz w:val="22"/>
          <w:szCs w:val="22"/>
        </w:rPr>
        <w:t xml:space="preserve">Critical principle: audit is observability infrastructure, not the critical path. The user response must never block on an audit write. The audit guarantee is durability over time, not synchronicity.</w:t>
      </w:r>
    </w:p>
    <w:p>
      <w:pPr>
        <w:pStyle w:val="Heading2"/>
        <w:spacing w:after="140" w:before="280"/>
      </w:pPr>
      <w:r>
        <w:rPr>
          <w:rFonts w:ascii="Arial" w:cs="Arial" w:eastAsia="Arial" w:hAnsi="Arial"/>
          <w:b/>
          <w:bCs/>
          <w:sz w:val="26"/>
          <w:szCs w:val="26"/>
        </w:rPr>
        <w:t xml:space="preserve">6.4 Cascade prevention</w:t>
      </w:r>
    </w:p>
    <w:p>
      <w:pPr>
        <w:spacing w:after="120" w:line="300"/>
      </w:pPr>
      <w:r>
        <w:rPr>
          <w:rFonts w:ascii="Arial" w:cs="Arial" w:eastAsia="Arial" w:hAnsi="Arial"/>
          <w:sz w:val="22"/>
          <w:szCs w:val="22"/>
        </w:rPr>
        <w:t xml:space="preserve">Independently of which dependency degrades, three patterns keep a single slow service from collapsing the platform.</w:t>
      </w:r>
    </w:p>
    <w:p>
      <w:pPr>
        <w:pStyle w:val="ListParagraph"/>
        <w:numPr>
          <w:ilvl w:val="0"/>
          <w:numId w:val="2"/>
        </w:numPr>
        <w:spacing w:after="80" w:line="280"/>
      </w:pPr>
      <w:r>
        <w:rPr>
          <w:rFonts w:ascii="Arial" w:cs="Arial" w:eastAsia="Arial" w:hAnsi="Arial"/>
          <w:b/>
          <w:bCs/>
          <w:sz w:val="22"/>
          <w:szCs w:val="22"/>
        </w:rPr>
        <w:t xml:space="preserve">Circuit breaker. </w:t>
      </w:r>
      <w:r>
        <w:rPr>
          <w:rFonts w:ascii="Arial" w:cs="Arial" w:eastAsia="Arial" w:hAnsi="Arial"/>
          <w:sz w:val="22"/>
          <w:szCs w:val="22"/>
        </w:rPr>
        <w:t xml:space="preserve">Short-circuit calls to a downstream service when the rolling failure rate exceeds a threshold (typically 20% over 30 seconds). The breaker trips for a cool-down period, during which calls return immediate fallbacks rather than queuing behind a slow upstream. Libraries: Polly for .NET, Tenacity + circuit-breaker for Python, Resilience4j for JVM.</w:t>
      </w:r>
    </w:p>
    <w:p>
      <w:pPr>
        <w:pStyle w:val="ListParagraph"/>
        <w:numPr>
          <w:ilvl w:val="0"/>
          <w:numId w:val="2"/>
        </w:numPr>
        <w:spacing w:after="80" w:line="280"/>
      </w:pPr>
      <w:r>
        <w:rPr>
          <w:rFonts w:ascii="Arial" w:cs="Arial" w:eastAsia="Arial" w:hAnsi="Arial"/>
          <w:b/>
          <w:bCs/>
          <w:sz w:val="22"/>
          <w:szCs w:val="22"/>
        </w:rPr>
        <w:t xml:space="preserve">Bulkhead. </w:t>
      </w:r>
      <w:r>
        <w:rPr>
          <w:rFonts w:ascii="Arial" w:cs="Arial" w:eastAsia="Arial" w:hAnsi="Arial"/>
          <w:sz w:val="22"/>
          <w:szCs w:val="22"/>
        </w:rPr>
        <w:t xml:space="preserve">Isolate thread or connection pools per dependency so a slow service exhausts only its own pool. The orchestrator's OpenAI HTTP client uses a separate connection pool from its AI Search client; saturating one does not block the other.</w:t>
      </w:r>
    </w:p>
    <w:p>
      <w:pPr>
        <w:pStyle w:val="ListParagraph"/>
        <w:numPr>
          <w:ilvl w:val="0"/>
          <w:numId w:val="2"/>
        </w:numPr>
        <w:spacing w:after="80" w:line="280"/>
      </w:pPr>
      <w:r>
        <w:rPr>
          <w:rFonts w:ascii="Arial" w:cs="Arial" w:eastAsia="Arial" w:hAnsi="Arial"/>
          <w:b/>
          <w:bCs/>
          <w:sz w:val="22"/>
          <w:szCs w:val="22"/>
        </w:rPr>
        <w:t xml:space="preserve">Timeout pyramid. </w:t>
      </w:r>
      <w:r>
        <w:rPr>
          <w:rFonts w:ascii="Arial" w:cs="Arial" w:eastAsia="Arial" w:hAnsi="Arial"/>
          <w:sz w:val="22"/>
          <w:szCs w:val="22"/>
        </w:rPr>
        <w:t xml:space="preserve">Deeper services have shorter timeouts than callers. The orchestrator's request budget is 30 s, each agent invocation 10 s, each tool call 3–5 s. This ensures the orchestrator can detect a stuck dependency and fall back within the user-visible request budget.</w:t>
      </w:r>
    </w:p>
    <w:p>
      <w:pPr>
        <w:pStyle w:val="Heading2"/>
        <w:spacing w:after="140" w:before="280"/>
      </w:pPr>
      <w:r>
        <w:rPr>
          <w:rFonts w:ascii="Arial" w:cs="Arial" w:eastAsia="Arial" w:hAnsi="Arial"/>
          <w:b/>
          <w:bCs/>
          <w:sz w:val="26"/>
          <w:szCs w:val="26"/>
        </w:rPr>
        <w:t xml:space="preserve">6.5 Graceful degradation by agent</w:t>
      </w:r>
    </w:p>
    <w:p>
      <w:pPr>
        <w:spacing w:after="120" w:line="300"/>
      </w:pPr>
      <w:r>
        <w:rPr>
          <w:rFonts w:ascii="Arial" w:cs="Arial" w:eastAsia="Arial" w:hAnsi="Arial"/>
          <w:sz w:val="22"/>
          <w:szCs w:val="22"/>
        </w:rPr>
        <w:t xml:space="preserve">Each agent has a defined fallback when its primary tool path fails:</w:t>
      </w:r>
    </w:p>
    <w:p>
      <w:pPr>
        <w:pStyle w:val="ListParagraph"/>
        <w:numPr>
          <w:ilvl w:val="0"/>
          <w:numId w:val="2"/>
        </w:numPr>
        <w:spacing w:after="80" w:line="280"/>
      </w:pPr>
      <w:r>
        <w:rPr>
          <w:rFonts w:ascii="Arial" w:cs="Arial" w:eastAsia="Arial" w:hAnsi="Arial"/>
          <w:sz w:val="22"/>
          <w:szCs w:val="22"/>
        </w:rPr>
        <w:t xml:space="preserve">Summarization agent fails → return raw retrieval results with an explicit “processed without summarization” banner.</w:t>
      </w:r>
    </w:p>
    <w:p>
      <w:pPr>
        <w:pStyle w:val="ListParagraph"/>
        <w:numPr>
          <w:ilvl w:val="0"/>
          <w:numId w:val="2"/>
        </w:numPr>
        <w:spacing w:after="80" w:line="280"/>
      </w:pPr>
      <w:r>
        <w:rPr>
          <w:rFonts w:ascii="Arial" w:cs="Arial" w:eastAsia="Arial" w:hAnsi="Arial"/>
          <w:sz w:val="22"/>
          <w:szCs w:val="22"/>
        </w:rPr>
        <w:t xml:space="preserve">Ontology lookup fails → skip term normalization; proceed with the user's original query terms.</w:t>
      </w:r>
    </w:p>
    <w:p>
      <w:pPr>
        <w:pStyle w:val="ListParagraph"/>
        <w:numPr>
          <w:ilvl w:val="0"/>
          <w:numId w:val="2"/>
        </w:numPr>
        <w:spacing w:after="80" w:line="280"/>
      </w:pPr>
      <w:r>
        <w:rPr>
          <w:rFonts w:ascii="Arial" w:cs="Arial" w:eastAsia="Arial" w:hAnsi="Arial"/>
          <w:sz w:val="22"/>
          <w:szCs w:val="22"/>
        </w:rPr>
        <w:t xml:space="preserve">Drug safety enrichment fails → return general retrieval-based answer with a warning that safety-specific enrichment was unavailable, and recommend the user check the regulatory portal directly.</w:t>
      </w:r>
    </w:p>
    <w:p>
      <w:pPr>
        <w:pStyle w:val="ListParagraph"/>
        <w:numPr>
          <w:ilvl w:val="0"/>
          <w:numId w:val="2"/>
        </w:numPr>
        <w:spacing w:after="80" w:line="280"/>
      </w:pPr>
      <w:r>
        <w:rPr>
          <w:rFonts w:ascii="Arial" w:cs="Arial" w:eastAsia="Arial" w:hAnsi="Arial"/>
          <w:sz w:val="22"/>
          <w:szCs w:val="22"/>
        </w:rPr>
        <w:t xml:space="preserve">Knowledge agent retrieval fails → return a candid “I could not retrieve relevant context” message rather than letting GPT-4o hallucinate from priors.</w:t>
      </w:r>
    </w:p>
    <w:p>
      <w:pPr>
        <w:spacing w:after="120" w:line="300"/>
      </w:pPr>
      <w:r>
        <w:rPr>
          <w:rFonts w:ascii="Arial" w:cs="Arial" w:eastAsia="Arial" w:hAnsi="Arial"/>
          <w:sz w:val="22"/>
          <w:szCs w:val="22"/>
        </w:rPr>
        <w:t xml:space="preserve">The contract with the user is: a partial answer with appropriate caveats is always preferable to a 500. A silent failure to retrieve is never acceptable — the user must know what part of the answer is unenriched.</w:t>
      </w:r>
    </w:p>
    <w:p>
      <w:pPr>
        <w:pStyle w:val="Heading2"/>
        <w:spacing w:after="140" w:before="280"/>
      </w:pPr>
      <w:r>
        <w:rPr>
          <w:rFonts w:ascii="Arial" w:cs="Arial" w:eastAsia="Arial" w:hAnsi="Arial"/>
          <w:b/>
          <w:bCs/>
          <w:sz w:val="26"/>
          <w:szCs w:val="26"/>
        </w:rPr>
        <w:t xml:space="preserve">6.6 The SLIs that matter</w:t>
      </w:r>
    </w:p>
    <w:p>
      <w:pPr>
        <w:spacing w:after="120" w:line="300"/>
      </w:pPr>
      <w:r>
        <w:rPr>
          <w:rFonts w:ascii="Arial" w:cs="Arial" w:eastAsia="Arial" w:hAnsi="Arial"/>
          <w:sz w:val="22"/>
          <w:szCs w:val="22"/>
        </w:rPr>
        <w:t xml:space="preserve">Observability for failure modes is only useful if it watches the right signals. The platform tracks three layers, in order of business value:</w:t>
      </w:r>
    </w:p>
    <w:p>
      <w:pPr>
        <w:pStyle w:val="ListParagraph"/>
        <w:numPr>
          <w:ilvl w:val="0"/>
          <w:numId w:val="2"/>
        </w:numPr>
        <w:spacing w:after="80" w:line="280"/>
      </w:pPr>
      <w:r>
        <w:rPr>
          <w:rFonts w:ascii="Arial" w:cs="Arial" w:eastAsia="Arial" w:hAnsi="Arial"/>
          <w:b/>
          <w:bCs/>
          <w:sz w:val="22"/>
          <w:szCs w:val="22"/>
        </w:rPr>
        <w:t xml:space="preserve">Per-dependency (the RED method). </w:t>
      </w:r>
      <w:r>
        <w:rPr>
          <w:rFonts w:ascii="Arial" w:cs="Arial" w:eastAsia="Arial" w:hAnsi="Arial"/>
          <w:sz w:val="22"/>
          <w:szCs w:val="22"/>
        </w:rPr>
        <w:t xml:space="preserve">Request rate, error rate, latency for each of Azure OpenAI, AI Search, Cosmos, Key Vault. Standard Grafana dashboards over Managed Prometheus.</w:t>
      </w:r>
    </w:p>
    <w:p>
      <w:pPr>
        <w:pStyle w:val="ListParagraph"/>
        <w:numPr>
          <w:ilvl w:val="0"/>
          <w:numId w:val="2"/>
        </w:numPr>
        <w:spacing w:after="80" w:line="280"/>
      </w:pPr>
      <w:r>
        <w:rPr>
          <w:rFonts w:ascii="Arial" w:cs="Arial" w:eastAsia="Arial" w:hAnsi="Arial"/>
          <w:b/>
          <w:bCs/>
          <w:sz w:val="22"/>
          <w:szCs w:val="22"/>
        </w:rPr>
        <w:t xml:space="preserve">End-to-end orchestrator. </w:t>
      </w:r>
      <w:r>
        <w:rPr>
          <w:rFonts w:ascii="Arial" w:cs="Arial" w:eastAsia="Arial" w:hAnsi="Arial"/>
          <w:sz w:val="22"/>
          <w:szCs w:val="22"/>
        </w:rPr>
        <w:t xml:space="preserve">Chat-session success rate, time-to-first-token, time-to-final-token, tokens per session. These are what users actually feel.</w:t>
      </w:r>
    </w:p>
    <w:p>
      <w:pPr>
        <w:pStyle w:val="ListParagraph"/>
        <w:numPr>
          <w:ilvl w:val="0"/>
          <w:numId w:val="2"/>
        </w:numPr>
        <w:spacing w:after="80" w:line="280"/>
      </w:pPr>
      <w:r>
        <w:rPr>
          <w:rFonts w:ascii="Arial" w:cs="Arial" w:eastAsia="Arial" w:hAnsi="Arial"/>
          <w:b/>
          <w:bCs/>
          <w:sz w:val="22"/>
          <w:szCs w:val="22"/>
        </w:rPr>
        <w:t xml:space="preserve">Business signal. </w:t>
      </w:r>
      <w:r>
        <w:rPr>
          <w:rFonts w:ascii="Arial" w:cs="Arial" w:eastAsia="Arial" w:hAnsi="Arial"/>
          <w:sz w:val="22"/>
          <w:szCs w:val="22"/>
        </w:rPr>
        <w:t xml:space="preserve">Thumbs-up rate, citation accuracy from sampled human eval, completed-task rate. A platform that meets infra SLOs but bleeds thumbs-down is failing the business — and only this layer catches it.</w:t>
      </w:r>
    </w:p>
    <w:p>
      <w:pPr>
        <w:spacing w:after="80" w:before="120"/>
      </w:pPr>
      <w:r>
        <w:rPr>
          <w:rFonts w:ascii="Arial" w:cs="Arial" w:eastAsia="Arial" w:hAnsi="Arial"/>
          <w:i/>
          <w:iCs/>
          <w:color w:val="595959"/>
          <w:sz w:val="22"/>
          <w:szCs w:val="22"/>
        </w:rPr>
        <w:t xml:space="preserve">Failure mode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rPr>
          <w:tblHeader/>
        </w:trPr>
        <w:tc>
          <w:tcPr>
            <w:tcW w:type="dxa" w:w="2200"/>
            <w:tcBorders>
              <w:top w:val="single" w:color="BFBFBF" w:sz="4"/>
              <w:left w:val="single" w:color="BFBFBF" w:sz="4"/>
              <w:bottom w:val="single" w:color="BFBFBF" w:sz="4"/>
              <w:right w:val="single" w:color="BFBFBF" w:sz="4"/>
            </w:tcBorders>
            <w:shd w:fill="E8E2D5" w:val="clear"/>
            <w:tcMar>
              <w:top w:type="dxa" w:w="100"/>
              <w:left w:type="dxa" w:w="140"/>
              <w:bottom w:type="dxa" w:w="100"/>
              <w:right w:type="dxa" w:w="140"/>
            </w:tcMar>
          </w:tcPr>
          <w:p>
            <w:pPr>
              <w:spacing w:after="0" w:line="260"/>
            </w:pPr>
            <w:r>
              <w:rPr>
                <w:rFonts w:ascii="Arial" w:cs="Arial" w:eastAsia="Arial" w:hAnsi="Arial"/>
                <w:b/>
                <w:bCs/>
                <w:sz w:val="22"/>
                <w:szCs w:val="22"/>
              </w:rPr>
              <w:t xml:space="preserve">Dependency</w:t>
            </w:r>
          </w:p>
        </w:tc>
        <w:tc>
          <w:tcPr>
            <w:tcW w:type="dxa" w:w="2386"/>
            <w:tcBorders>
              <w:top w:val="single" w:color="BFBFBF" w:sz="4"/>
              <w:left w:val="single" w:color="BFBFBF" w:sz="4"/>
              <w:bottom w:val="single" w:color="BFBFBF" w:sz="4"/>
              <w:right w:val="single" w:color="BFBFBF" w:sz="4"/>
            </w:tcBorders>
            <w:shd w:fill="E8E2D5" w:val="clear"/>
            <w:tcMar>
              <w:top w:type="dxa" w:w="100"/>
              <w:left w:type="dxa" w:w="140"/>
              <w:bottom w:type="dxa" w:w="100"/>
              <w:right w:type="dxa" w:w="140"/>
            </w:tcMar>
          </w:tcPr>
          <w:p>
            <w:pPr>
              <w:spacing w:after="0" w:line="260"/>
            </w:pPr>
            <w:r>
              <w:rPr>
                <w:rFonts w:ascii="Arial" w:cs="Arial" w:eastAsia="Arial" w:hAnsi="Arial"/>
                <w:b/>
                <w:bCs/>
                <w:sz w:val="22"/>
                <w:szCs w:val="22"/>
              </w:rPr>
              <w:t xml:space="preserve">Symptom</w:t>
            </w:r>
          </w:p>
        </w:tc>
        <w:tc>
          <w:tcPr>
            <w:tcW w:type="dxa" w:w="2387"/>
            <w:tcBorders>
              <w:top w:val="single" w:color="BFBFBF" w:sz="4"/>
              <w:left w:val="single" w:color="BFBFBF" w:sz="4"/>
              <w:bottom w:val="single" w:color="BFBFBF" w:sz="4"/>
              <w:right w:val="single" w:color="BFBFBF" w:sz="4"/>
            </w:tcBorders>
            <w:shd w:fill="E8E2D5" w:val="clear"/>
            <w:tcMar>
              <w:top w:type="dxa" w:w="100"/>
              <w:left w:type="dxa" w:w="140"/>
              <w:bottom w:type="dxa" w:w="100"/>
              <w:right w:type="dxa" w:w="140"/>
            </w:tcMar>
          </w:tcPr>
          <w:p>
            <w:pPr>
              <w:spacing w:after="0" w:line="260"/>
            </w:pPr>
            <w:r>
              <w:rPr>
                <w:rFonts w:ascii="Arial" w:cs="Arial" w:eastAsia="Arial" w:hAnsi="Arial"/>
                <w:b/>
                <w:bCs/>
                <w:sz w:val="22"/>
                <w:szCs w:val="22"/>
              </w:rPr>
              <w:t xml:space="preserve">Primary mitigation</w:t>
            </w:r>
          </w:p>
        </w:tc>
        <w:tc>
          <w:tcPr>
            <w:tcW w:type="dxa" w:w="2387"/>
            <w:tcBorders>
              <w:top w:val="single" w:color="BFBFBF" w:sz="4"/>
              <w:left w:val="single" w:color="BFBFBF" w:sz="4"/>
              <w:bottom w:val="single" w:color="BFBFBF" w:sz="4"/>
              <w:right w:val="single" w:color="BFBFBF" w:sz="4"/>
            </w:tcBorders>
            <w:shd w:fill="E8E2D5" w:val="clear"/>
            <w:tcMar>
              <w:top w:type="dxa" w:w="100"/>
              <w:left w:type="dxa" w:w="140"/>
              <w:bottom w:type="dxa" w:w="100"/>
              <w:right w:type="dxa" w:w="140"/>
            </w:tcMar>
          </w:tcPr>
          <w:p>
            <w:pPr>
              <w:spacing w:after="0" w:line="260"/>
            </w:pPr>
            <w:r>
              <w:rPr>
                <w:rFonts w:ascii="Arial" w:cs="Arial" w:eastAsia="Arial" w:hAnsi="Arial"/>
                <w:b/>
                <w:bCs/>
                <w:sz w:val="22"/>
                <w:szCs w:val="22"/>
              </w:rPr>
              <w:t xml:space="preserve">Graceful degradation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Azure OpenAI</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sz w:val="20"/>
                <w:szCs w:val="20"/>
              </w:rPr>
              <w:t xml:space="preserve">429 throttle</w:t>
            </w:r>
          </w:p>
          <w:p>
            <w:pPr>
              <w:spacing w:after="60" w:line="260"/>
            </w:pPr>
            <w:r>
              <w:rPr>
                <w:rFonts w:ascii="Arial" w:cs="Arial" w:eastAsia="Arial" w:hAnsi="Arial"/>
                <w:sz w:val="20"/>
                <w:szCs w:val="20"/>
              </w:rPr>
              <w:t xml:space="preserve">Latency spike</w:t>
            </w:r>
          </w:p>
          <w:p>
            <w:pPr>
              <w:spacing w:after="60" w:line="260"/>
            </w:pPr>
            <w:r>
              <w:rPr>
                <w:rFonts w:ascii="Arial" w:cs="Arial" w:eastAsia="Arial" w:hAnsi="Arial"/>
                <w:sz w:val="20"/>
                <w:szCs w:val="20"/>
              </w:rPr>
              <w:t xml:space="preserve">TPM exhaustion</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sz w:val="20"/>
                <w:szCs w:val="20"/>
              </w:rPr>
              <w:t xml:space="preserve">Backoff + jitter</w:t>
            </w:r>
          </w:p>
          <w:p>
            <w:pPr>
              <w:spacing w:after="60" w:line="260"/>
            </w:pPr>
            <w:r>
              <w:rPr>
                <w:rFonts w:ascii="Arial" w:cs="Arial" w:eastAsia="Arial" w:hAnsi="Arial"/>
                <w:sz w:val="20"/>
                <w:szCs w:val="20"/>
              </w:rPr>
              <w:t xml:space="preserve">Multi-region failover</w:t>
            </w:r>
          </w:p>
          <w:p>
            <w:pPr>
              <w:spacing w:after="60" w:line="260"/>
            </w:pPr>
            <w:r>
              <w:rPr>
                <w:rFonts w:ascii="Arial" w:cs="Arial" w:eastAsia="Arial" w:hAnsi="Arial"/>
                <w:sz w:val="20"/>
                <w:szCs w:val="20"/>
              </w:rPr>
              <w:t xml:space="preserve">PTU reservation</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sz w:val="20"/>
                <w:szCs w:val="20"/>
              </w:rPr>
              <w:t xml:space="preserve">Downgrade to GPT-4o-mini for non-critical agents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AI Search</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sz w:val="20"/>
                <w:szCs w:val="20"/>
              </w:rPr>
              <w:t xml:space="preserve">p95 &gt; 200 ms</w:t>
            </w:r>
          </w:p>
          <w:p>
            <w:pPr>
              <w:spacing w:after="60" w:line="260"/>
            </w:pPr>
            <w:r>
              <w:rPr>
                <w:rFonts w:ascii="Arial" w:cs="Arial" w:eastAsia="Arial" w:hAnsi="Arial"/>
                <w:sz w:val="20"/>
                <w:szCs w:val="20"/>
              </w:rPr>
              <w:t xml:space="preserve">503 from /docs/search</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sz w:val="20"/>
                <w:szCs w:val="20"/>
              </w:rPr>
              <w:t xml:space="preserve">300 ms timeout</w:t>
            </w:r>
          </w:p>
          <w:p>
            <w:pPr>
              <w:spacing w:after="60" w:line="260"/>
            </w:pPr>
            <w:r>
              <w:rPr>
                <w:rFonts w:ascii="Arial" w:cs="Arial" w:eastAsia="Arial" w:hAnsi="Arial"/>
                <w:sz w:val="20"/>
                <w:szCs w:val="20"/>
              </w:rPr>
              <w:t xml:space="preserve">Replica scale-out</w:t>
            </w:r>
          </w:p>
          <w:p>
            <w:pPr>
              <w:spacing w:after="60" w:line="260"/>
            </w:pPr>
            <w:r>
              <w:rPr>
                <w:rFonts w:ascii="Arial" w:cs="Arial" w:eastAsia="Arial" w:hAnsi="Arial"/>
                <w:sz w:val="20"/>
                <w:szCs w:val="20"/>
              </w:rPr>
              <w:t xml:space="preserve">Redis caching</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sz w:val="20"/>
                <w:szCs w:val="20"/>
              </w:rPr>
              <w:t xml:space="preserve">Fall back to BM25-only lexical search</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Cosmos DB</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sz w:val="20"/>
                <w:szCs w:val="20"/>
              </w:rPr>
              <w:t xml:space="preserve">RU 429s</w:t>
            </w:r>
          </w:p>
          <w:p>
            <w:pPr>
              <w:spacing w:after="60" w:line="260"/>
            </w:pPr>
            <w:r>
              <w:rPr>
                <w:rFonts w:ascii="Arial" w:cs="Arial" w:eastAsia="Arial" w:hAnsi="Arial"/>
                <w:sz w:val="20"/>
                <w:szCs w:val="20"/>
              </w:rPr>
              <w:t xml:space="preserve">Hot-partition latency</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sz w:val="20"/>
                <w:szCs w:val="20"/>
              </w:rPr>
              <w:t xml:space="preserve">Autoscale RUs</w:t>
            </w:r>
          </w:p>
          <w:p>
            <w:pPr>
              <w:spacing w:after="60" w:line="260"/>
            </w:pPr>
            <w:r>
              <w:rPr>
                <w:rFonts w:ascii="Arial" w:cs="Arial" w:eastAsia="Arial" w:hAnsi="Arial"/>
                <w:sz w:val="20"/>
                <w:szCs w:val="20"/>
              </w:rPr>
              <w:t xml:space="preserve">Hash-based partition key</w:t>
            </w:r>
          </w:p>
          <w:p>
            <w:pPr>
              <w:spacing w:after="60" w:line="260"/>
            </w:pPr>
            <w:r>
              <w:rPr>
                <w:rFonts w:ascii="Arial" w:cs="Arial" w:eastAsia="Arial" w:hAnsi="Arial"/>
                <w:sz w:val="20"/>
                <w:szCs w:val="20"/>
              </w:rPr>
              <w:t xml:space="preserve">Async writes</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sz w:val="20"/>
                <w:szCs w:val="20"/>
              </w:rPr>
              <w:t xml:space="preserve">Service Bus DLQ replay; never block user response on audit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Key Vault</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sz w:val="20"/>
                <w:szCs w:val="20"/>
              </w:rPr>
              <w:t xml:space="preserve">Secret fetch latency</w:t>
            </w:r>
          </w:p>
          <w:p>
            <w:pPr>
              <w:spacing w:after="60" w:line="260"/>
            </w:pPr>
            <w:r>
              <w:rPr>
                <w:rFonts w:ascii="Arial" w:cs="Arial" w:eastAsia="Arial" w:hAnsi="Arial"/>
                <w:sz w:val="20"/>
                <w:szCs w:val="20"/>
              </w:rPr>
              <w:t xml:space="preserve">Throttle</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sz w:val="20"/>
                <w:szCs w:val="20"/>
              </w:rPr>
              <w:t xml:space="preserve">CSI driver caching</w:t>
            </w:r>
          </w:p>
          <w:p>
            <w:pPr>
              <w:spacing w:after="60" w:line="260"/>
            </w:pPr>
            <w:r>
              <w:rPr>
                <w:rFonts w:ascii="Arial" w:cs="Arial" w:eastAsia="Arial" w:hAnsi="Arial"/>
                <w:sz w:val="20"/>
                <w:szCs w:val="20"/>
              </w:rPr>
              <w:t xml:space="preserve">Long secret TTLs</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sz w:val="20"/>
                <w:szCs w:val="20"/>
              </w:rPr>
              <w:t xml:space="preserve">Use cached secret if rotation request fails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60"/>
            </w:pPr>
            <w:r>
              <w:rPr>
                <w:rFonts w:ascii="Arial" w:cs="Arial" w:eastAsia="Arial" w:hAnsi="Arial"/>
                <w:b w:val="false"/>
                <w:bCs w:val="false"/>
                <w:sz w:val="20"/>
                <w:szCs w:val="20"/>
              </w:rPr>
              <w:t xml:space="preserve">Ingress</w:t>
            </w:r>
          </w:p>
        </w:tc>
        <w:tc>
          <w:tcPr>
            <w:tcW w:type="dxa" w:w="2386"/>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sz w:val="20"/>
                <w:szCs w:val="20"/>
              </w:rPr>
              <w:t xml:space="preserve">Pod-level upstream errors</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sz w:val="20"/>
                <w:szCs w:val="20"/>
              </w:rPr>
              <w:t xml:space="preserve">Multi-replica NGINX</w:t>
            </w:r>
          </w:p>
          <w:p>
            <w:pPr>
              <w:spacing w:after="60" w:line="260"/>
            </w:pPr>
            <w:r>
              <w:rPr>
                <w:rFonts w:ascii="Arial" w:cs="Arial" w:eastAsia="Arial" w:hAnsi="Arial"/>
                <w:sz w:val="20"/>
                <w:szCs w:val="20"/>
              </w:rPr>
              <w:t xml:space="preserve">Health checks</w:t>
            </w:r>
          </w:p>
        </w:tc>
        <w:tc>
          <w:tcPr>
            <w:tcW w:type="dxa" w:w="2387"/>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line="260"/>
            </w:pPr>
            <w:r>
              <w:rPr>
                <w:rFonts w:ascii="Arial" w:cs="Arial" w:eastAsia="Arial" w:hAnsi="Arial"/>
                <w:sz w:val="20"/>
                <w:szCs w:val="20"/>
              </w:rPr>
              <w:t xml:space="preserve">Return cached prior-session response where available</w:t>
            </w:r>
          </w:p>
        </w:tc>
      </w:tr>
    </w:tbl>
    <w:p>
      <w:pPr>
        <w:spacing w:after="100"/>
      </w:pPr>
    </w:p>
    <w:p>
      <w:r>
        <w:br w:type="page"/>
      </w:r>
    </w:p>
    <w:p>
      <w:pPr>
        <w:pStyle w:val="Heading1"/>
        <w:spacing w:after="180" w:before="360"/>
      </w:pPr>
      <w:r>
        <w:rPr>
          <w:rFonts w:ascii="Arial" w:cs="Arial" w:eastAsia="Arial" w:hAnsi="Arial"/>
          <w:b/>
          <w:bCs/>
          <w:sz w:val="32"/>
          <w:szCs w:val="32"/>
        </w:rPr>
        <w:t xml:space="preserve">7. Appendix: key numbers and scaling triggers</w:t>
      </w:r>
    </w:p>
    <w:p>
      <w:pPr>
        <w:pStyle w:val="Heading2"/>
        <w:spacing w:after="140" w:before="280"/>
      </w:pPr>
      <w:r>
        <w:rPr>
          <w:rFonts w:ascii="Arial" w:cs="Arial" w:eastAsia="Arial" w:hAnsi="Arial"/>
          <w:b/>
          <w:bCs/>
          <w:sz w:val="26"/>
          <w:szCs w:val="26"/>
        </w:rPr>
        <w:t xml:space="preserve">7.1 Production scale</w:t>
      </w:r>
    </w:p>
    <w:p>
      <w:pPr>
        <w:pStyle w:val="ListParagraph"/>
        <w:numPr>
          <w:ilvl w:val="0"/>
          <w:numId w:val="2"/>
        </w:numPr>
        <w:spacing w:after="80" w:line="280"/>
      </w:pPr>
      <w:r>
        <w:rPr>
          <w:rFonts w:ascii="Arial" w:cs="Arial" w:eastAsia="Arial" w:hAnsi="Arial"/>
          <w:sz w:val="22"/>
          <w:szCs w:val="22"/>
        </w:rPr>
        <w:t xml:space="preserve">Concurrent AKS sessions: 120 (p95 latency target &lt; 900 ms).</w:t>
      </w:r>
    </w:p>
    <w:p>
      <w:pPr>
        <w:pStyle w:val="ListParagraph"/>
        <w:numPr>
          <w:ilvl w:val="0"/>
          <w:numId w:val="2"/>
        </w:numPr>
        <w:spacing w:after="80" w:line="280"/>
      </w:pPr>
      <w:r>
        <w:rPr>
          <w:rFonts w:ascii="Arial" w:cs="Arial" w:eastAsia="Arial" w:hAnsi="Arial"/>
          <w:sz w:val="22"/>
          <w:szCs w:val="22"/>
        </w:rPr>
        <w:t xml:space="preserve">Internal scientific documents indexed: 10,000+ (vector + BM25 hybrid index).</w:t>
      </w:r>
    </w:p>
    <w:p>
      <w:pPr>
        <w:pStyle w:val="ListParagraph"/>
        <w:numPr>
          <w:ilvl w:val="0"/>
          <w:numId w:val="2"/>
        </w:numPr>
        <w:spacing w:after="80" w:line="280"/>
      </w:pPr>
      <w:r>
        <w:rPr>
          <w:rFonts w:ascii="Arial" w:cs="Arial" w:eastAsia="Arial" w:hAnsi="Arial"/>
          <w:sz w:val="22"/>
          <w:szCs w:val="22"/>
        </w:rPr>
        <w:t xml:space="preserve">Specialist agents: 5 (Knowledge, Ontology, Drug Safety, QA, Summarization) — all in-process within the orchestrator pod.</w:t>
      </w:r>
    </w:p>
    <w:p>
      <w:pPr>
        <w:pStyle w:val="ListParagraph"/>
        <w:numPr>
          <w:ilvl w:val="0"/>
          <w:numId w:val="2"/>
        </w:numPr>
        <w:spacing w:after="80" w:line="280"/>
      </w:pPr>
      <w:r>
        <w:rPr>
          <w:rFonts w:ascii="Arial" w:cs="Arial" w:eastAsia="Arial" w:hAnsi="Arial"/>
          <w:sz w:val="22"/>
          <w:szCs w:val="22"/>
        </w:rPr>
        <w:t xml:space="preserve">External tool calls per request: up to 5 (vector search, ontology lookup, drug safety query, document fetch, citation enrichment).</w:t>
      </w:r>
    </w:p>
    <w:p>
      <w:pPr>
        <w:pStyle w:val="ListParagraph"/>
        <w:numPr>
          <w:ilvl w:val="0"/>
          <w:numId w:val="2"/>
        </w:numPr>
        <w:spacing w:after="80" w:line="280"/>
      </w:pPr>
      <w:r>
        <w:rPr>
          <w:rFonts w:ascii="Arial" w:cs="Arial" w:eastAsia="Arial" w:hAnsi="Arial"/>
          <w:sz w:val="22"/>
          <w:szCs w:val="22"/>
        </w:rPr>
        <w:t xml:space="preserve">Outcomes: 22% research turnaround improvement; 18% hallucination reduction vs. baseline single-agent.</w:t>
      </w:r>
    </w:p>
    <w:p>
      <w:pPr>
        <w:pStyle w:val="Heading2"/>
        <w:spacing w:after="140" w:before="280"/>
      </w:pPr>
      <w:r>
        <w:rPr>
          <w:rFonts w:ascii="Arial" w:cs="Arial" w:eastAsia="Arial" w:hAnsi="Arial"/>
          <w:b/>
          <w:bCs/>
          <w:sz w:val="26"/>
          <w:szCs w:val="26"/>
        </w:rPr>
        <w:t xml:space="preserve">7.2 Scaling triggers</w:t>
      </w:r>
    </w:p>
    <w:p>
      <w:pPr>
        <w:pStyle w:val="ListParagraph"/>
        <w:numPr>
          <w:ilvl w:val="0"/>
          <w:numId w:val="2"/>
        </w:numPr>
        <w:spacing w:after="80" w:line="280"/>
      </w:pPr>
      <w:r>
        <w:rPr>
          <w:rFonts w:ascii="Arial" w:cs="Arial" w:eastAsia="Arial" w:hAnsi="Arial"/>
          <w:sz w:val="22"/>
          <w:szCs w:val="22"/>
        </w:rPr>
        <w:t xml:space="preserve">HPA: scale up at sustained 60% CPU or 75% memory over 2 minutes; scale down conservatively (5 min cool-down).</w:t>
      </w:r>
    </w:p>
    <w:p>
      <w:pPr>
        <w:pStyle w:val="ListParagraph"/>
        <w:numPr>
          <w:ilvl w:val="0"/>
          <w:numId w:val="2"/>
        </w:numPr>
        <w:spacing w:after="80" w:line="280"/>
      </w:pPr>
      <w:r>
        <w:rPr>
          <w:rFonts w:ascii="Arial" w:cs="Arial" w:eastAsia="Arial" w:hAnsi="Arial"/>
          <w:sz w:val="22"/>
          <w:szCs w:val="22"/>
        </w:rPr>
        <w:t xml:space="preserve">KEDA: scale on in-flight session count and Service Bus queue depth for async ingestion jobs.</w:t>
      </w:r>
    </w:p>
    <w:p>
      <w:pPr>
        <w:pStyle w:val="ListParagraph"/>
        <w:numPr>
          <w:ilvl w:val="0"/>
          <w:numId w:val="2"/>
        </w:numPr>
        <w:spacing w:after="80" w:line="280"/>
      </w:pPr>
      <w:r>
        <w:rPr>
          <w:rFonts w:ascii="Arial" w:cs="Arial" w:eastAsia="Arial" w:hAnsi="Arial"/>
          <w:sz w:val="22"/>
          <w:szCs w:val="22"/>
        </w:rPr>
        <w:t xml:space="preserve">Cluster Autoscaler: triggers when pods cannot be scheduled within 30 s; scales node pools within configured min/max bounds.</w:t>
      </w:r>
    </w:p>
    <w:p>
      <w:pPr>
        <w:pStyle w:val="Heading2"/>
        <w:spacing w:after="140" w:before="280"/>
      </w:pPr>
      <w:r>
        <w:rPr>
          <w:rFonts w:ascii="Arial" w:cs="Arial" w:eastAsia="Arial" w:hAnsi="Arial"/>
          <w:b/>
          <w:bCs/>
          <w:sz w:val="26"/>
          <w:szCs w:val="26"/>
        </w:rPr>
        <w:t xml:space="preserve">7.3 Observability stack quick reference</w:t>
      </w:r>
    </w:p>
    <w:p>
      <w:pPr>
        <w:pStyle w:val="ListParagraph"/>
        <w:numPr>
          <w:ilvl w:val="0"/>
          <w:numId w:val="2"/>
        </w:numPr>
        <w:spacing w:after="80" w:line="280"/>
      </w:pPr>
      <w:r>
        <w:rPr>
          <w:rFonts w:ascii="Arial" w:cs="Arial" w:eastAsia="Arial" w:hAnsi="Arial"/>
          <w:sz w:val="22"/>
          <w:szCs w:val="22"/>
        </w:rPr>
        <w:t xml:space="preserve">OpenTelemetry Collector — gateway Deployment, OTLP ingest from all workloads.</w:t>
      </w:r>
    </w:p>
    <w:p>
      <w:pPr>
        <w:pStyle w:val="ListParagraph"/>
        <w:numPr>
          <w:ilvl w:val="0"/>
          <w:numId w:val="2"/>
        </w:numPr>
        <w:spacing w:after="80" w:line="280"/>
      </w:pPr>
      <w:r>
        <w:rPr>
          <w:rFonts w:ascii="Arial" w:cs="Arial" w:eastAsia="Arial" w:hAnsi="Arial"/>
          <w:sz w:val="22"/>
          <w:szCs w:val="22"/>
        </w:rPr>
        <w:t xml:space="preserve">Application Insights — distributed traces, custom events, exception tracking.</w:t>
      </w:r>
    </w:p>
    <w:p>
      <w:pPr>
        <w:pStyle w:val="ListParagraph"/>
        <w:numPr>
          <w:ilvl w:val="0"/>
          <w:numId w:val="2"/>
        </w:numPr>
        <w:spacing w:after="80" w:line="280"/>
      </w:pPr>
      <w:r>
        <w:rPr>
          <w:rFonts w:ascii="Arial" w:cs="Arial" w:eastAsia="Arial" w:hAnsi="Arial"/>
          <w:sz w:val="22"/>
          <w:szCs w:val="22"/>
        </w:rPr>
        <w:t xml:space="preserve">Azure Managed Prometheus — metrics scraped via ServiceMonitor.</w:t>
      </w:r>
    </w:p>
    <w:p>
      <w:pPr>
        <w:pStyle w:val="ListParagraph"/>
        <w:numPr>
          <w:ilvl w:val="0"/>
          <w:numId w:val="2"/>
        </w:numPr>
        <w:spacing w:after="80" w:line="280"/>
      </w:pPr>
      <w:r>
        <w:rPr>
          <w:rFonts w:ascii="Arial" w:cs="Arial" w:eastAsia="Arial" w:hAnsi="Arial"/>
          <w:sz w:val="22"/>
          <w:szCs w:val="22"/>
        </w:rPr>
        <w:t xml:space="preserve">Azure Managed Grafana — single pane across Prometheus and App Insights.</w:t>
      </w:r>
    </w:p>
    <w:p>
      <w:pPr>
        <w:pStyle w:val="ListParagraph"/>
        <w:numPr>
          <w:ilvl w:val="0"/>
          <w:numId w:val="2"/>
        </w:numPr>
        <w:spacing w:after="80" w:line="280"/>
      </w:pPr>
      <w:r>
        <w:rPr>
          <w:rFonts w:ascii="Arial" w:cs="Arial" w:eastAsia="Arial" w:hAnsi="Arial"/>
          <w:sz w:val="22"/>
          <w:szCs w:val="22"/>
        </w:rPr>
        <w:t xml:space="preserve">Container Insights — node and pod-level logs to Log Analytics.</w:t>
      </w:r>
    </w:p>
    <w:p>
      <w:pPr>
        <w:pStyle w:val="ListParagraph"/>
        <w:numPr>
          <w:ilvl w:val="0"/>
          <w:numId w:val="2"/>
        </w:numPr>
        <w:spacing w:after="80" w:line="280"/>
      </w:pPr>
      <w:r>
        <w:rPr>
          <w:rFonts w:ascii="Arial" w:cs="Arial" w:eastAsia="Arial" w:hAnsi="Arial"/>
          <w:sz w:val="22"/>
          <w:szCs w:val="22"/>
        </w:rPr>
        <w:t xml:space="preserve">Cosmos DB — structured audit records for FDA/EMA traceability.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AKS for the J&amp;J Multi-Agent Platform · 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2026-06-02T17:26:44.355Z</dcterms:created>
  <dcterms:modified xsi:type="dcterms:W3CDTF">2026-06-02T17:26:44.367Z</dcterms:modified>
</cp:coreProperties>
</file>

<file path=docProps/custom.xml><?xml version="1.0" encoding="utf-8"?>
<Properties xmlns="http://schemas.openxmlformats.org/officeDocument/2006/custom-properties" xmlns:vt="http://schemas.openxmlformats.org/officeDocument/2006/docPropsVTypes"/>
</file>