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002D72"/>
          <w:sz w:val="48"/>
          <w:szCs w:val="48"/>
        </w:rPr>
        <w:t xml:space="preserve">The Citibank Model Operations Platform</w:t>
      </w:r>
    </w:p>
    <w:p>
      <w:pPr>
        <w:spacing w:after="0" w:before="120"/>
        <w:jc w:val="center"/>
      </w:pPr>
      <w:r>
        <w:rPr>
          <w:color w:val="056DAE"/>
          <w:sz w:val="28"/>
          <w:szCs w:val="28"/>
        </w:rPr>
        <w:t xml:space="preserve">A Paved Road from Notebook to Production under SR 11-7</w:t>
      </w:r>
    </w:p>
    <w:p>
      <w:pPr>
        <w:spacing w:after="0" w:before="80"/>
        <w:jc w:val="center"/>
      </w:pPr>
      <w:r>
        <w:rPr>
          <w:i/>
          <w:iCs/>
          <w:color w:val="5A5A5A"/>
          <w:sz w:val="22"/>
          <w:szCs w:val="22"/>
        </w:rPr>
        <w:t xml:space="preserve">Governed MLOps on AWS for the Bank’s Quantitative Modeling Teams</w:t>
      </w:r>
    </w:p>
    <w:p>
      <w:pPr>
        <w:spacing w:after="400"/>
      </w:pPr>
      <w:r>
        <w:t xml:space="preserve"/>
      </w:r>
    </w:p>
    <w:p>
      <w:pPr>
        <w:pBdr>
          <w:bottom w:val="single" w:color="056DAE" w:sz="6" w:space="1"/>
        </w:pBdr>
        <w:jc w:val="center"/>
      </w:pPr>
      <w:r>
        <w:t xml:space="preserve"/>
      </w:r>
    </w:p>
    <w:p>
      <w:pPr>
        <w:spacing w:after="200"/>
      </w:pPr>
      <w:r>
        <w:t xml:space="preserve"/>
      </w:r>
    </w:p>
    <w:p>
      <w:pPr>
        <w:spacing w:after="60"/>
        <w:jc w:val="center"/>
      </w:pPr>
      <w:r>
        <w:rPr>
          <w:b/>
          <w:bCs/>
          <w:color w:val="002D72"/>
          <w:sz w:val="24"/>
          <w:szCs w:val="24"/>
        </w:rPr>
        <w:t xml:space="preserve">Interview Narrative &amp; Technical Master Reference</w:t>
      </w:r>
    </w:p>
    <w:p>
      <w:pPr>
        <w:spacing w:after="0"/>
        <w:jc w:val="center"/>
      </w:pPr>
      <w:r>
        <w:rPr>
          <w:color w:val="5A5A5A"/>
          <w:sz w:val="22"/>
          <w:szCs w:val="22"/>
        </w:rPr>
        <w:t xml:space="preserve">Oswald  •  MLOps Engineer, Citibank Group  •  Aug 2019 – Aug 2021</w:t>
      </w:r>
    </w:p>
    <w:p>
      <w:r>
        <w:br w:type="page"/>
      </w:r>
    </w:p>
    <w:p>
      <w:pPr>
        <w:spacing w:after="160"/>
      </w:pPr>
      <w:r>
        <w:rPr>
          <w:b/>
          <w:bCs/>
          <w:color w:val="002D72"/>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Elevator Pitch</w:t>
      </w:r>
    </w:p>
    <w:p>
      <w:pPr>
        <w:pStyle w:val="Heading2"/>
      </w:pPr>
      <w:r>
        <w:t xml:space="preserve">The 30-second version</w:t>
      </w:r>
    </w:p>
    <w:tbl>
      <w:tblPr>
        <w:tblW w:type="dxa" w:w="9360"/>
        <w:tblBorders>
          <w:top w:val="single" w:color="E9F2F9" w:sz="1"/>
          <w:left w:val="single" w:color="056DAE" w:sz="24"/>
          <w:bottom w:val="single" w:color="E9F2F9" w:sz="1"/>
          <w:right w:val="single" w:color="E9F2F9" w:sz="1"/>
          <w:insideH w:val="single" w:color="auto" w:sz="4"/>
          <w:insideV w:val="single" w:color="auto" w:sz="4"/>
        </w:tblBorders>
      </w:tblPr>
      <w:tblGrid>
        <w:gridCol w:w="9360"/>
      </w:tblGrid>
      <w:tr>
        <w:tc>
          <w:tcPr>
            <w:tcW w:type="dxa" w:w="9360"/>
            <w:shd w:fill="E9F2F9" w:val="clear"/>
            <w:tcMar>
              <w:top w:type="dxa" w:w="120"/>
              <w:left w:type="dxa" w:w="200"/>
              <w:bottom w:type="dxa" w:w="120"/>
              <w:right w:type="dxa" w:w="200"/>
            </w:tcMar>
          </w:tcPr>
          <w:p>
            <w:pPr>
              <w:spacing w:after="60"/>
            </w:pPr>
            <w:r>
              <w:rPr>
                <w:b/>
                <w:bCs/>
                <w:color w:val="002D72"/>
              </w:rPr>
              <w:t xml:space="preserve">Say this first</w:t>
            </w:r>
          </w:p>
          <w:p>
            <w:r>
              <w:t xml:space="preserve">“At Citibank I was the MLOps engineer who built the paved road that took quantitative models from data scientists’ laptops to production on AWS — under the bank’s SR 11-7 model-risk governance. Reproducible training on SageMaker, immutable versioned data in S3, MLflow lineage, challenger-vs-champion validation gates, drift monitoring that triggered governed retraining, and everything defined in Terraform. The whole idea was to make the compliant path the path of least resistance — so validators could validate instead of reconstructing, and models reached production auditably and far faster.”</w:t>
            </w:r>
          </w:p>
        </w:tc>
      </w:tr>
    </w:tbl>
    <w:p>
      <w:pPr>
        <w:spacing w:after="80"/>
      </w:pPr>
      <w:r>
        <w:t xml:space="preserve"/>
      </w:r>
    </w:p>
    <w:p>
      <w:pPr>
        <w:pStyle w:val="Heading2"/>
      </w:pPr>
      <w:r>
        <w:t xml:space="preserve">The 90-second version</w:t>
      </w:r>
    </w:p>
    <w:p>
      <w:pPr>
        <w:spacing w:after="160" w:line="276"/>
      </w:pPr>
      <w:r>
        <w:rPr>
          <w:b w:val="false"/>
          <w:bCs w:val="false"/>
          <w:i w:val="false"/>
          <w:iCs w:val="false"/>
        </w:rPr>
        <w:t xml:space="preserve">Citibank’s quantitative teams were building risk, pricing, and analytics models on individual laptops and bespoke servers, with validation and promotion handled over email and spreadsheets. Under SR 11-7, every model that touches a business decision needs independent validation, ongoing monitoring, documented assumptions, and traceable lineage from training data to production prediction — and doing that by hand meant validators spent most of their time reconstructing what a developer had done instead of validating it. Months passed between a model being ready and a model being live.</w:t>
      </w:r>
    </w:p>
    <w:p>
      <w:pPr>
        <w:spacing w:after="160" w:line="276"/>
      </w:pPr>
      <w:r>
        <w:rPr>
          <w:b w:val="false"/>
          <w:bCs w:val="false"/>
          <w:i w:val="false"/>
          <w:iCs w:val="false"/>
        </w:rPr>
        <w:t xml:space="preserve">I built an MLOps platform that encoded that governance flow into the system itself. SageMaker for training, S3 as the immutable artifact and dataset store, and a model registry that captured lineage from input data through code, hyperparameters, and evaluation metrics. I delivered it in three phases that tracked what AWS could actually do at the time — a reproducible foundation orchestrated with Step Functions and Jenkins, then governed validation and drift monitoring, then a migration onto SageMaker Pipelines after it went GA in December 2020. This is the role where my actuarial-governance instinct from Aon became production model-risk engineering — the exact discipline I later carried into FDA/EMA pharma at J&amp;J.</w:t>
      </w:r>
    </w:p>
    <w:p>
      <w:r>
        <w:br w:type="page"/>
      </w:r>
    </w:p>
    <w:p>
      <w:pPr>
        <w:pStyle w:val="Heading1"/>
      </w:pPr>
      <w:r>
        <w:t xml:space="preserve">2. Why I Was Hired</w:t>
      </w:r>
    </w:p>
    <w:p>
      <w:pPr>
        <w:spacing w:after="160" w:line="276"/>
      </w:pPr>
      <w:r>
        <w:rPr>
          <w:b w:val="false"/>
          <w:bCs w:val="false"/>
          <w:i w:val="false"/>
          <w:iCs w:val="false"/>
        </w:rPr>
        <w:t xml:space="preserve">Citibank didn’t need someone to build models — the quant teams already did that well. They needed someone who could industrialize the path to production under model-risk governance: an engineer fluent in both production ML on AWS and the discipline of SR 11-7.</w:t>
      </w:r>
    </w:p>
    <w:p>
      <w:pPr>
        <w:pStyle w:val="ListParagraph"/>
        <w:numPr>
          <w:ilvl w:val="0"/>
          <w:numId w:val="2"/>
        </w:numPr>
        <w:spacing w:after="80" w:line="270"/>
      </w:pPr>
      <w:r>
        <w:rPr>
          <w:b/>
          <w:bCs/>
          <w:i w:val="false"/>
          <w:iCs w:val="false"/>
        </w:rPr>
        <w:t xml:space="preserve">Two literacies in one person. </w:t>
      </w:r>
      <w:r>
        <w:t xml:space="preserve">Production MLOps engineering and model-risk governance are usually different people. The value was someone who could speak to both validators and data scientists and build the system that served both.</w:t>
      </w:r>
    </w:p>
    <w:p>
      <w:pPr>
        <w:pStyle w:val="ListParagraph"/>
        <w:numPr>
          <w:ilvl w:val="0"/>
          <w:numId w:val="2"/>
        </w:numPr>
        <w:spacing w:after="80" w:line="270"/>
      </w:pPr>
      <w:r>
        <w:rPr>
          <w:b/>
          <w:bCs/>
          <w:i w:val="false"/>
          <w:iCs w:val="false"/>
        </w:rPr>
        <w:t xml:space="preserve">Regulated-domain instinct. </w:t>
      </w:r>
      <w:r>
        <w:t xml:space="preserve">Coming from actuarial governance at Aon, I already thought in terms of documented assumptions, reproducibility, and independent validation — the vocabulary SR 11-7 lives in.</w:t>
      </w:r>
    </w:p>
    <w:p>
      <w:pPr>
        <w:pStyle w:val="ListParagraph"/>
        <w:numPr>
          <w:ilvl w:val="0"/>
          <w:numId w:val="2"/>
        </w:numPr>
        <w:spacing w:after="80" w:line="270"/>
      </w:pPr>
      <w:r>
        <w:rPr>
          <w:b/>
          <w:bCs/>
          <w:i w:val="false"/>
          <w:iCs w:val="false"/>
        </w:rPr>
        <w:t xml:space="preserve">Full-lifecycle ownership. </w:t>
      </w:r>
      <w:r>
        <w:t xml:space="preserve">Data ingestion and masking, reproducible training, validation gates, deployment, and drift monitoring — the whole lifecycle, not a single stage.</w:t>
      </w:r>
    </w:p>
    <w:p>
      <w:pPr>
        <w:pStyle w:val="ListParagraph"/>
        <w:numPr>
          <w:ilvl w:val="0"/>
          <w:numId w:val="2"/>
        </w:numPr>
        <w:spacing w:after="80" w:line="270"/>
      </w:pPr>
      <w:r>
        <w:rPr>
          <w:b/>
          <w:bCs/>
          <w:i w:val="false"/>
          <w:iCs w:val="false"/>
        </w:rPr>
        <w:t xml:space="preserve">AWS production engineering. </w:t>
      </w:r>
      <w:r>
        <w:t xml:space="preserve">Terraform-defined environments, containerized training and serving, CI/CD with auditable promotion — the bank needed this done to a standard an auditor would accept.</w:t>
      </w:r>
    </w:p>
    <w:tbl>
      <w:tblPr>
        <w:tblW w:type="dxa" w:w="9360"/>
        <w:tblBorders>
          <w:top w:val="single" w:color="F3F9FD" w:sz="1"/>
          <w:left w:val="single" w:color="55657A" w:sz="24"/>
          <w:bottom w:val="single" w:color="F3F9FD" w:sz="1"/>
          <w:right w:val="single" w:color="F3F9FD" w:sz="1"/>
          <w:insideH w:val="single" w:color="auto" w:sz="4"/>
          <w:insideV w:val="single" w:color="auto" w:sz="4"/>
        </w:tblBorders>
      </w:tblPr>
      <w:tblGrid>
        <w:gridCol w:w="9360"/>
      </w:tblGrid>
      <w:tr>
        <w:tc>
          <w:tcPr>
            <w:tcW w:type="dxa" w:w="9360"/>
            <w:shd w:fill="F3F9FD" w:val="clear"/>
            <w:tcMar>
              <w:top w:type="dxa" w:w="120"/>
              <w:left w:type="dxa" w:w="200"/>
              <w:bottom w:type="dxa" w:w="120"/>
              <w:right w:type="dxa" w:w="200"/>
            </w:tcMar>
          </w:tcPr>
          <w:p>
            <w:pPr>
              <w:spacing w:after="60"/>
            </w:pPr>
            <w:r>
              <w:rPr>
                <w:b/>
                <w:bCs/>
                <w:color w:val="002D72"/>
              </w:rPr>
              <w:t xml:space="preserve">How to frame it in the room</w:t>
            </w:r>
          </w:p>
          <w:p>
            <w:r>
              <w:t xml:space="preserve">“They hired me because the bottleneck wasn’t modeling — it was the governed path to production. SR 11-7 is non-negotiable in a bank, so the win was encoding it into the platform: make the reproducible, auditable, validated path the easiest path, and everything downstream gets faster and safer at once.”</w:t>
            </w:r>
          </w:p>
        </w:tc>
      </w:tr>
    </w:tbl>
    <w:p>
      <w:r>
        <w:br w:type="page"/>
      </w:r>
    </w:p>
    <w:p>
      <w:pPr>
        <w:pStyle w:val="Heading1"/>
      </w:pPr>
      <w:r>
        <w:t xml:space="preserve">3. Problem Statement</w:t>
      </w:r>
    </w:p>
    <w:p>
      <w:pPr>
        <w:spacing w:after="160" w:line="276"/>
      </w:pPr>
      <w:r>
        <w:rPr>
          <w:b w:val="false"/>
          <w:bCs w:val="false"/>
          <w:i w:val="false"/>
          <w:iCs w:val="false"/>
        </w:rPr>
        <w:t xml:space="preserve">Quantitative modeling was happening, but the path to production was manual, slow, and hard to audit:</w:t>
      </w:r>
    </w:p>
    <w:p>
      <w:pPr>
        <w:pStyle w:val="ListParagraph"/>
        <w:numPr>
          <w:ilvl w:val="0"/>
          <w:numId w:val="2"/>
        </w:numPr>
        <w:spacing w:after="80" w:line="270"/>
      </w:pPr>
      <w:r>
        <w:rPr>
          <w:b/>
          <w:bCs/>
          <w:i w:val="false"/>
          <w:iCs w:val="false"/>
        </w:rPr>
        <w:t xml:space="preserve">Models on islands. </w:t>
      </w:r>
      <w:r>
        <w:t xml:space="preserve">Risk, pricing, and analytics models lived on individually owned laptops and bespoke servers, with no shared, reproducible path to production.</w:t>
      </w:r>
    </w:p>
    <w:p>
      <w:pPr>
        <w:pStyle w:val="ListParagraph"/>
        <w:numPr>
          <w:ilvl w:val="0"/>
          <w:numId w:val="2"/>
        </w:numPr>
        <w:spacing w:after="80" w:line="270"/>
      </w:pPr>
      <w:r>
        <w:rPr>
          <w:b/>
          <w:bCs/>
          <w:i w:val="false"/>
          <w:iCs w:val="false"/>
        </w:rPr>
        <w:t xml:space="preserve">Governance by spreadsheet. </w:t>
      </w:r>
      <w:r>
        <w:t xml:space="preserve">Validation and promotion ran on email, spreadsheets, and ad-hoc handoffs — not a system.</w:t>
      </w:r>
    </w:p>
    <w:p>
      <w:pPr>
        <w:pStyle w:val="ListParagraph"/>
        <w:numPr>
          <w:ilvl w:val="0"/>
          <w:numId w:val="2"/>
        </w:numPr>
        <w:spacing w:after="80" w:line="270"/>
      </w:pPr>
      <w:r>
        <w:rPr>
          <w:b/>
          <w:bCs/>
          <w:i w:val="false"/>
          <w:iCs w:val="false"/>
        </w:rPr>
        <w:t xml:space="preserve">Validators reconstructing, not validating. </w:t>
      </w:r>
      <w:r>
        <w:t xml:space="preserve">Most of a validator’s time went to reverse-engineering what the developer had done — environment, data, parameters — before any real validation could begin.</w:t>
      </w:r>
    </w:p>
    <w:p>
      <w:pPr>
        <w:pStyle w:val="ListParagraph"/>
        <w:numPr>
          <w:ilvl w:val="0"/>
          <w:numId w:val="2"/>
        </w:numPr>
        <w:spacing w:after="80" w:line="270"/>
      </w:pPr>
      <w:r>
        <w:rPr>
          <w:b/>
          <w:bCs/>
          <w:i w:val="false"/>
          <w:iCs w:val="false"/>
        </w:rPr>
        <w:t xml:space="preserve">Risk waiting on operations. </w:t>
      </w:r>
      <w:r>
        <w:t xml:space="preserve">Months between “model ready” and “model live,” plus a steady accumulation of unreviewed model variants — a regulatory, audit, and business risk all at once.</w:t>
      </w:r>
    </w:p>
    <w:p>
      <w:pPr>
        <w:pStyle w:val="Heading2"/>
      </w:pPr>
      <w:r>
        <w:t xml:space="preserve">The problem stated as one sentence</w:t>
      </w:r>
    </w:p>
    <w:tbl>
      <w:tblPr>
        <w:tblW w:type="dxa" w:w="9360"/>
        <w:tblBorders>
          <w:top w:val="single" w:color="E9F2F9" w:sz="1"/>
          <w:left w:val="single" w:color="056DAE" w:sz="24"/>
          <w:bottom w:val="single" w:color="E9F2F9" w:sz="1"/>
          <w:right w:val="single" w:color="E9F2F9" w:sz="1"/>
          <w:insideH w:val="single" w:color="auto" w:sz="4"/>
          <w:insideV w:val="single" w:color="auto" w:sz="4"/>
        </w:tblBorders>
      </w:tblPr>
      <w:tblGrid>
        <w:gridCol w:w="9360"/>
      </w:tblGrid>
      <w:tr>
        <w:tc>
          <w:tcPr>
            <w:tcW w:type="dxa" w:w="9360"/>
            <w:shd w:fill="E9F2F9" w:val="clear"/>
            <w:tcMar>
              <w:top w:type="dxa" w:w="120"/>
              <w:left w:type="dxa" w:w="200"/>
              <w:bottom w:type="dxa" w:w="120"/>
              <w:right w:type="dxa" w:w="200"/>
            </w:tcMar>
          </w:tcPr>
          <w:p>
            <w:pPr>
              <w:spacing w:after="60"/>
            </w:pPr>
            <w:r>
              <w:rPr>
                <w:b/>
                <w:bCs/>
                <w:color w:val="002D72"/>
              </w:rPr>
              <w:t xml:space="preserve">Problem statement</w:t>
            </w:r>
          </w:p>
          <w:p>
            <w:r>
              <w:t xml:space="preserve">Give Citibank’s quant teams a reproducible, auditable path from notebook to production where SR 11-7 governance — independent validation, lineage, ongoing monitoring — is built into the platform, so the compliant path is also the fastest path.</w:t>
            </w:r>
          </w:p>
        </w:tc>
      </w:tr>
    </w:tbl>
    <w:p>
      <w:pPr>
        <w:pStyle w:val="Heading2"/>
      </w:pPr>
      <w:r>
        <w:t xml:space="preserve">What the platform was measured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Dimension</w:t>
            </w:r>
          </w:p>
        </w:tc>
        <w:tc>
          <w:tcPr>
            <w:tcW w:type="dxa" w:w="636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Outcome the platform was designed to deliver</w:t>
            </w:r>
          </w:p>
        </w:tc>
      </w:tr>
      <w:tr>
        <w:tc>
          <w:tcPr>
            <w:tcW w:type="dxa" w:w="30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Time to production</w:t>
            </w:r>
          </w:p>
        </w:tc>
        <w:tc>
          <w:tcPr>
            <w:tcW w:type="dxa" w:w="63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Replace months of manual handoff with an automated, governed promotion path</w:t>
            </w:r>
          </w:p>
        </w:tc>
      </w:tr>
      <w:tr>
        <w:tc>
          <w:tcPr>
            <w:tcW w:type="dxa" w:w="30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Reproducibility</w:t>
            </w:r>
          </w:p>
        </w:tc>
        <w:tc>
          <w:tcPr>
            <w:tcW w:type="dxa" w:w="636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Every production model reconstructable from its lineage (data + code + params + metrics)</w:t>
            </w:r>
          </w:p>
        </w:tc>
      </w:tr>
      <w:tr>
        <w:tc>
          <w:tcPr>
            <w:tcW w:type="dxa" w:w="30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Validator efficiency</w:t>
            </w:r>
          </w:p>
        </w:tc>
        <w:tc>
          <w:tcPr>
            <w:tcW w:type="dxa" w:w="63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Validators validate against a standard packet instead of reconstructing the developer’s work</w:t>
            </w:r>
          </w:p>
        </w:tc>
      </w:tr>
      <w:tr>
        <w:tc>
          <w:tcPr>
            <w:tcW w:type="dxa" w:w="30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Auditability</w:t>
            </w:r>
          </w:p>
        </w:tc>
        <w:tc>
          <w:tcPr>
            <w:tcW w:type="dxa" w:w="636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SR 11-7-ready lineage and recorded promotion decisions for any model</w:t>
            </w:r>
          </w:p>
        </w:tc>
      </w:tr>
      <w:tr>
        <w:tc>
          <w:tcPr>
            <w:tcW w:type="dxa" w:w="30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Drift response</w:t>
            </w:r>
          </w:p>
        </w:tc>
        <w:tc>
          <w:tcPr>
            <w:tcW w:type="dxa" w:w="63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Automated detection → governed retraining, with serving held on the validated model</w:t>
            </w:r>
          </w:p>
        </w:tc>
      </w:tr>
    </w:tbl>
    <w:p>
      <w:pPr>
        <w:spacing w:after="160" w:line="276"/>
      </w:pPr>
      <w:r>
        <w:rPr>
          <w:b w:val="false"/>
          <w:bCs w:val="false"/>
          <w:i/>
          <w:iCs/>
          <w:color w:val="5A5A5A"/>
        </w:rPr>
        <w:t xml:space="preserve">Note: these are the dimensions the platform was built to move. Where you have verified figures from your time at Citi, drop them in — but the credibility of this story rests on the governance design and the honest AWS-tooling timeline (§7), not on invented percentages.</w:t>
      </w:r>
    </w:p>
    <w:p>
      <w:r>
        <w:br w:type="page"/>
      </w:r>
    </w:p>
    <w:p>
      <w:pPr>
        <w:pStyle w:val="Heading1"/>
      </w:pPr>
      <w:r>
        <w:t xml:space="preserve">4. The Solution — Foundation → Governance → Pipelines</w:t>
      </w:r>
    </w:p>
    <w:p>
      <w:pPr>
        <w:spacing w:after="160" w:line="276"/>
      </w:pPr>
      <w:r>
        <w:rPr>
          <w:b w:val="false"/>
          <w:bCs w:val="false"/>
          <w:i w:val="false"/>
          <w:iCs w:val="false"/>
        </w:rPr>
        <w:t xml:space="preserve">The platform shipped in three phases that tracked what AWS MLOps tooling could actually do at the time. Framing it this way is honest about the timeline and shows you understand the evolution of AWS MLOps — exactly what a senior MLOps interviewer wants to hear.</w:t>
      </w:r>
    </w:p>
    <w:p>
      <w:pPr>
        <w:pStyle w:val="Heading2"/>
      </w:pPr>
      <w:r>
        <w:t xml:space="preserve">Phase overview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
            </w:r>
          </w:p>
        </w:tc>
        <w:tc>
          <w:tcPr>
            <w:tcW w:type="dxa" w:w="262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Phase 1 — Foundation</w:t>
            </w:r>
          </w:p>
        </w:tc>
        <w:tc>
          <w:tcPr>
            <w:tcW w:type="dxa" w:w="262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Phase 2 — Governance &amp; Monitoring</w:t>
            </w:r>
          </w:p>
        </w:tc>
        <w:tc>
          <w:tcPr>
            <w:tcW w:type="dxa" w:w="262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Phase 3 — Pipelines Migration</w:t>
            </w:r>
          </w:p>
        </w:tc>
      </w:tr>
      <w:tr>
        <w:tc>
          <w:tcPr>
            <w:tcW w:type="dxa" w:w="15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Window</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Aug 2019 – Mid 2020</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Late 2020 – Early 2021</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2021</w:t>
            </w:r>
          </w:p>
        </w:tc>
      </w:tr>
      <w:tr>
        <w:tc>
          <w:tcPr>
            <w:tcW w:type="dxa" w:w="15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Goal</w:t>
            </w:r>
          </w:p>
        </w:tc>
        <w:tc>
          <w:tcPr>
            <w:tcW w:type="dxa" w:w="262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Get models off laptops onto a reproducible paved road</w:t>
            </w:r>
          </w:p>
        </w:tc>
        <w:tc>
          <w:tcPr>
            <w:tcW w:type="dxa" w:w="262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Encode validation &amp; drift governance</w:t>
            </w:r>
          </w:p>
        </w:tc>
        <w:tc>
          <w:tcPr>
            <w:tcW w:type="dxa" w:w="262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Consolidate onto native orchestration</w:t>
            </w:r>
          </w:p>
        </w:tc>
      </w:tr>
      <w:tr>
        <w:tc>
          <w:tcPr>
            <w:tcW w:type="dxa" w:w="15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Orchestration</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Step Functions (Data Science SDK) + Jenkins-driven SageMaker SDK</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Same, hardened with CI/CD promotion</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Migrate to SageMaker Pipelines (post Dec 2020 GA)</w:t>
            </w:r>
          </w:p>
        </w:tc>
      </w:tr>
      <w:tr>
        <w:tc>
          <w:tcPr>
            <w:tcW w:type="dxa" w:w="15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Tracking / registry</w:t>
            </w:r>
          </w:p>
        </w:tc>
        <w:tc>
          <w:tcPr>
            <w:tcW w:type="dxa" w:w="262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MLflow (experiment tracking + lineage)</w:t>
            </w:r>
          </w:p>
        </w:tc>
        <w:tc>
          <w:tcPr>
            <w:tcW w:type="dxa" w:w="262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MLflow as canonical model-risk record</w:t>
            </w:r>
          </w:p>
        </w:tc>
        <w:tc>
          <w:tcPr>
            <w:tcW w:type="dxa" w:w="262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Add SageMaker Model Registry alongside MLflow</w:t>
            </w:r>
          </w:p>
        </w:tc>
      </w:tr>
      <w:tr>
        <w:tc>
          <w:tcPr>
            <w:tcW w:type="dxa" w:w="15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Validation</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Manual gates, codified criteria</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Challenger-vs-champion + bias thresholds (Clarify)</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Gates enforced inside the pipeline</w:t>
            </w:r>
          </w:p>
        </w:tc>
      </w:tr>
      <w:tr>
        <w:tc>
          <w:tcPr>
            <w:tcW w:type="dxa" w:w="15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Monitoring</w:t>
            </w:r>
          </w:p>
        </w:tc>
        <w:tc>
          <w:tcPr>
            <w:tcW w:type="dxa" w:w="262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CloudWatch + Lambda drift rules</w:t>
            </w:r>
          </w:p>
        </w:tc>
        <w:tc>
          <w:tcPr>
            <w:tcW w:type="dxa" w:w="262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SageMaker Model Monitor baselines + drift → retrain</w:t>
            </w:r>
          </w:p>
        </w:tc>
        <w:tc>
          <w:tcPr>
            <w:tcW w:type="dxa" w:w="262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Governed retraining wired into Pipelines</w:t>
            </w:r>
          </w:p>
        </w:tc>
      </w:tr>
      <w:tr>
        <w:tc>
          <w:tcPr>
            <w:tcW w:type="dxa" w:w="15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Infra</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Terraform IaC from day one</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Terraform modules across dev/UAT/prod</w:t>
            </w:r>
          </w:p>
        </w:tc>
        <w:tc>
          <w:tcPr>
            <w:tcW w:type="dxa" w:w="262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Terraform-defined, identical environments</w:t>
            </w:r>
          </w:p>
        </w:tc>
      </w:tr>
    </w:tbl>
    <w:p>
      <w:pPr>
        <w:pStyle w:val="Heading2"/>
      </w:pPr>
      <w:r>
        <w:t xml:space="preserve">Phase 1 — Reproducible Foundation (Aug 2019 – Mid 2020)</w:t>
      </w:r>
    </w:p>
    <w:p>
      <w:pPr>
        <w:spacing w:after="160" w:line="276"/>
      </w:pPr>
      <w:r>
        <w:rPr>
          <w:b/>
          <w:bCs/>
          <w:i w:val="false"/>
          <w:iCs w:val="false"/>
        </w:rPr>
        <w:t xml:space="preserve">Objective. </w:t>
      </w:r>
      <w:r>
        <w:t xml:space="preserve">Get models off individual machines and onto a reproducible, version-controlled paved road before adding governance automation.</w:t>
      </w:r>
    </w:p>
    <w:p>
      <w:pPr>
        <w:spacing w:after="160" w:line="276"/>
      </w:pPr>
      <w:r>
        <w:rPr>
          <w:b/>
          <w:bCs/>
          <w:i w:val="false"/>
          <w:iCs w:val="false"/>
        </w:rPr>
        <w:t xml:space="preserve">What we built. </w:t>
      </w:r>
      <w:r>
        <w:t xml:space="preserve">SageMaker for training compute and S3 as the immutable artifact and dataset store. Orchestration via AWS Step Functions (Data Science SDK) and Jenkins-driven SageMaker Python SDK invocations — the authentic pre-Pipelines pattern. MLflow as the experiment-tracking and lineage store. Data-scientist notebooks were refactored into tested Python modules (pytest) packaged as reproducible Docker images in Amazon ECR, and all infrastructure was provisioned via Terraform from day one.</w:t>
      </w:r>
    </w:p>
    <w:p>
      <w:pPr>
        <w:pStyle w:val="ListParagraph"/>
        <w:numPr>
          <w:ilvl w:val="0"/>
          <w:numId w:val="2"/>
        </w:numPr>
        <w:spacing w:after="80" w:line="270"/>
      </w:pPr>
      <w:r>
        <w:rPr>
          <w:b/>
          <w:bCs/>
          <w:i w:val="false"/>
          <w:iCs w:val="false"/>
          <w:color w:val="056DAE"/>
        </w:rPr>
        <w:t xml:space="preserve">Solved: </w:t>
      </w:r>
      <w:r>
        <w:t xml:space="preserve">reproducible training and a lineage record; the same image used for training and serving; infrastructure defined as code.</w:t>
      </w:r>
    </w:p>
    <w:p>
      <w:pPr>
        <w:pStyle w:val="ListParagraph"/>
        <w:numPr>
          <w:ilvl w:val="0"/>
          <w:numId w:val="2"/>
        </w:numPr>
        <w:spacing w:after="80" w:line="270"/>
      </w:pPr>
      <w:r>
        <w:rPr>
          <w:b/>
          <w:bCs/>
          <w:i w:val="false"/>
          <w:iCs w:val="false"/>
          <w:color w:val="B45309"/>
        </w:rPr>
        <w:t xml:space="preserve">Exposed: </w:t>
      </w:r>
      <w:r>
        <w:t xml:space="preserve">reproducibility alone doesn’t satisfy SR 11-7 — promotion was still a manual judgment call, and drift wasn’t systematically detected.</w:t>
      </w:r>
    </w:p>
    <w:p>
      <w:pPr>
        <w:pStyle w:val="Heading2"/>
      </w:pPr>
      <w:r>
        <w:t xml:space="preserve">Phase 2 — Governance &amp; Monitoring (Late 2020 – Early 2021)</w:t>
      </w:r>
    </w:p>
    <w:p>
      <w:pPr>
        <w:spacing w:after="160" w:line="276"/>
      </w:pPr>
      <w:r>
        <w:rPr>
          <w:b/>
          <w:bCs/>
          <w:i w:val="false"/>
          <w:iCs w:val="false"/>
        </w:rPr>
        <w:t xml:space="preserve">Objective. </w:t>
      </w:r>
      <w:r>
        <w:t xml:space="preserve">Encode the SR 11-7 controls — validation, bias, drift — into the platform itself.</w:t>
      </w:r>
    </w:p>
    <w:p>
      <w:pPr>
        <w:spacing w:after="160" w:line="276"/>
      </w:pPr>
      <w:r>
        <w:rPr>
          <w:b/>
          <w:bCs/>
          <w:i w:val="false"/>
          <w:iCs w:val="false"/>
        </w:rPr>
        <w:t xml:space="preserve">What we built. </w:t>
      </w:r>
      <w:r>
        <w:t xml:space="preserve">Codified validation gates with challenger-vs-champion comparison and quality + bias thresholds (SageMaker Clarify), so only gate-passing models could be promoted. Curated dataset pipelines ingested from S3 and RDS with PII masking, governance checks, and versioned train/val/test splits for reproducibility. SageMaker Model Monitor baselines plus CloudWatch and Lambda drift rules detected data and concept drift and triggered governed retraining, while serving stayed on the current validated endpoint pending re-validation. CI/CD with Jenkins and AWS CodePipeline promoted artifacts across dev/UAT/prod with rollback aligned to validation handoffs.</w:t>
      </w:r>
    </w:p>
    <w:p>
      <w:pPr>
        <w:pStyle w:val="ListParagraph"/>
        <w:numPr>
          <w:ilvl w:val="0"/>
          <w:numId w:val="2"/>
        </w:numPr>
        <w:spacing w:after="80" w:line="270"/>
      </w:pPr>
      <w:r>
        <w:rPr>
          <w:b/>
          <w:bCs/>
          <w:i w:val="false"/>
          <w:iCs w:val="false"/>
          <w:color w:val="056DAE"/>
        </w:rPr>
        <w:t xml:space="preserve">Solved: </w:t>
      </w:r>
      <w:r>
        <w:t xml:space="preserve">consistent, recorded promotion decisions; PII-safe reproducible data; automated drift detection feeding governed retraining.</w:t>
      </w:r>
    </w:p>
    <w:p>
      <w:pPr>
        <w:pStyle w:val="ListParagraph"/>
        <w:numPr>
          <w:ilvl w:val="0"/>
          <w:numId w:val="2"/>
        </w:numPr>
        <w:spacing w:after="80" w:line="270"/>
      </w:pPr>
      <w:r>
        <w:rPr>
          <w:b/>
          <w:bCs/>
          <w:i w:val="false"/>
          <w:iCs w:val="false"/>
          <w:color w:val="B45309"/>
        </w:rPr>
        <w:t xml:space="preserve">Exposed: </w:t>
      </w:r>
      <w:r>
        <w:t xml:space="preserve">the orchestration was still hand-rolled glue — fragile, with partial-failure cleanup slowing every release.</w:t>
      </w:r>
    </w:p>
    <w:p>
      <w:pPr>
        <w:pStyle w:val="Heading2"/>
      </w:pPr>
      <w:r>
        <w:t xml:space="preserve">Phase 3 — Pipelines Migration &amp; Consolidation (2021)</w:t>
      </w:r>
    </w:p>
    <w:p>
      <w:pPr>
        <w:spacing w:after="160" w:line="276"/>
      </w:pPr>
      <w:r>
        <w:rPr>
          <w:b/>
          <w:bCs/>
          <w:i w:val="false"/>
          <w:iCs w:val="false"/>
        </w:rPr>
        <w:t xml:space="preserve">Objective. </w:t>
      </w:r>
      <w:r>
        <w:t xml:space="preserve">Move off brittle orchestration onto native, auditable pipelines once the tooling existed.</w:t>
      </w:r>
    </w:p>
    <w:p>
      <w:pPr>
        <w:spacing w:after="160" w:line="276"/>
      </w:pPr>
      <w:r>
        <w:rPr>
          <w:b/>
          <w:bCs/>
          <w:i w:val="false"/>
          <w:iCs w:val="false"/>
        </w:rPr>
        <w:t xml:space="preserve">What we built. </w:t>
      </w:r>
      <w:r>
        <w:t xml:space="preserve">Following SageMaker Pipelines’ December 2020 GA, workflows migrated onto it — realistically evaluated in early 2021 and piloted mid-2021, since banks move cautiously on net-new AWS services. SageMaker Model Registry was adopted alongside MLflow (MLflow preserved as the canonical experiment record for model-risk artifacts), consolidating the full SR 11-7 promotion path — training, validation gates, registration, deployment, monitoring — into one orchestrated, lineage-tracked flow.</w:t>
      </w:r>
    </w:p>
    <w:p>
      <w:pPr>
        <w:pStyle w:val="ListParagraph"/>
        <w:numPr>
          <w:ilvl w:val="0"/>
          <w:numId w:val="2"/>
        </w:numPr>
        <w:spacing w:after="80" w:line="270"/>
      </w:pPr>
      <w:r>
        <w:rPr>
          <w:b/>
          <w:bCs/>
          <w:i w:val="false"/>
          <w:iCs w:val="false"/>
          <w:color w:val="056DAE"/>
        </w:rPr>
        <w:t xml:space="preserve">Solved: </w:t>
      </w:r>
      <w:r>
        <w:t xml:space="preserve">native orchestration with built-in retries, caching, and lineage; one auditable path end to end.</w:t>
      </w:r>
    </w:p>
    <w:p>
      <w:pPr>
        <w:pStyle w:val="ListParagraph"/>
        <w:numPr>
          <w:ilvl w:val="0"/>
          <w:numId w:val="2"/>
        </w:numPr>
        <w:spacing w:after="80" w:line="270"/>
      </w:pPr>
      <w:r>
        <w:rPr>
          <w:b/>
          <w:bCs/>
          <w:i w:val="false"/>
          <w:iCs w:val="false"/>
          <w:color w:val="B45309"/>
        </w:rPr>
        <w:t xml:space="preserve">The honest framing: </w:t>
      </w:r>
      <w:r>
        <w:t xml:space="preserve">SageMaker Pipelines and Model Registry only existed for the final ~8 months of the tenure — owning that migration timeline is more credible than presenting them as the foundation (see the verification table in §7).</w:t>
      </w:r>
    </w:p>
    <w:p>
      <w:r>
        <w:br w:type="page"/>
      </w:r>
    </w:p>
    <w:p>
      <w:pPr>
        <w:pStyle w:val="Heading1"/>
      </w:pPr>
      <w:r>
        <w:t xml:space="preserve">5. Building the MLOps Platform</w:t>
      </w:r>
    </w:p>
    <w:p>
      <w:pPr>
        <w:spacing w:after="160" w:line="276"/>
      </w:pPr>
      <w:r>
        <w:rPr>
          <w:b w:val="false"/>
          <w:bCs w:val="false"/>
          <w:i w:val="false"/>
          <w:iCs w:val="false"/>
        </w:rPr>
        <w:t xml:space="preserve">This is the technical core and the part to defend box by box. The design question: how do you make the SR 11-7-compliant path the easiest path a data scientist can take?</w:t>
      </w:r>
    </w:p>
    <w:p>
      <w:pPr>
        <w:pStyle w:val="Heading2"/>
      </w:pPr>
      <w:r>
        <w:t xml:space="preserve">Strategy 1 — Governance by design</w:t>
      </w:r>
    </w:p>
    <w:tbl>
      <w:tblPr>
        <w:tblW w:type="dxa" w:w="9360"/>
        <w:tblBorders>
          <w:top w:val="single" w:color="E9F2F9" w:sz="1"/>
          <w:left w:val="single" w:color="056DAE" w:sz="24"/>
          <w:bottom w:val="single" w:color="E9F2F9" w:sz="1"/>
          <w:right w:val="single" w:color="E9F2F9" w:sz="1"/>
          <w:insideH w:val="single" w:color="auto" w:sz="4"/>
          <w:insideV w:val="single" w:color="auto" w:sz="4"/>
        </w:tblBorders>
      </w:tblPr>
      <w:tblGrid>
        <w:gridCol w:w="9360"/>
      </w:tblGrid>
      <w:tr>
        <w:tc>
          <w:tcPr>
            <w:tcW w:type="dxa" w:w="9360"/>
            <w:shd w:fill="E9F2F9" w:val="clear"/>
            <w:tcMar>
              <w:top w:type="dxa" w:w="120"/>
              <w:left w:type="dxa" w:w="200"/>
              <w:bottom w:type="dxa" w:w="120"/>
              <w:right w:type="dxa" w:w="200"/>
            </w:tcMar>
          </w:tcPr>
          <w:p>
            <w:pPr>
              <w:spacing w:after="60"/>
            </w:pPr>
            <w:r>
              <w:rPr>
                <w:b/>
                <w:bCs/>
                <w:color w:val="002D72"/>
              </w:rPr>
              <w:t xml:space="preserve">The key insight to articulate</w:t>
            </w:r>
          </w:p>
          <w:p>
            <w:r>
              <w:t xml:space="preserve">If the path of least resistance produces a validation-ready, reproducible, auditable model, governance stops being a tax. Validators get their time back and developers get to production faster — the compliance win and the velocity win are the same win.</w:t>
            </w:r>
          </w:p>
        </w:tc>
      </w:tr>
    </w:tbl>
    <w:p>
      <w:pPr>
        <w:pStyle w:val="Heading2"/>
      </w:pPr>
      <w:r>
        <w:t xml:space="preserve">Strategy 2 — Immutable, versioned data &amp; lineage</w:t>
      </w:r>
    </w:p>
    <w:p>
      <w:pPr>
        <w:spacing w:after="160" w:line="276"/>
      </w:pPr>
      <w:r>
        <w:rPr>
          <w:b w:val="false"/>
          <w:bCs w:val="false"/>
          <w:i w:val="false"/>
          <w:iCs w:val="false"/>
        </w:rPr>
        <w:t xml:space="preserve">Datasets and artifacts lived in S3 as immutable, versioned objects, never read from live tables. Curated dataset pipelines pulled from S3 and RDS with PII masking and governance checks, and the dataset version was pinned into each model’s lineage record alongside code commit, hyperparameters, and metrics. Under SR 11-7 that lineage is what makes a production model reconstructable for independent validation.</w:t>
      </w:r>
    </w:p>
    <w:p>
      <w:pPr>
        <w:pStyle w:val="Heading2"/>
      </w:pPr>
      <w:r>
        <w:t xml:space="preserve">Strategy 3 — Reproducibility: notebook → tested module → same image</w:t>
      </w:r>
    </w:p>
    <w:p>
      <w:pPr>
        <w:spacing w:after="160" w:line="276"/>
      </w:pPr>
      <w:r>
        <w:rPr>
          <w:b w:val="false"/>
          <w:bCs w:val="false"/>
          <w:i w:val="false"/>
          <w:iCs w:val="false"/>
        </w:rPr>
        <w:t xml:space="preserve">Data-scientist notebooks were refactored into production Python modules with pytest coverage and built into reproducible Docker images in Amazon ECR. Training and serving ran from the same image, which closes the “works on my machine” gap — the deployed model behaves like the validated one.</w:t>
      </w:r>
    </w:p>
    <w:p>
      <w:pPr>
        <w:pStyle w:val="Heading2"/>
      </w:pPr>
      <w:r>
        <w:t xml:space="preserve">Strategy 4 — Orchestration evolution</w:t>
      </w:r>
    </w:p>
    <w:p>
      <w:pPr>
        <w:spacing w:after="160" w:line="276"/>
      </w:pPr>
      <w:r>
        <w:rPr>
          <w:b w:val="false"/>
          <w:bCs w:val="false"/>
          <w:i w:val="false"/>
          <w:iCs w:val="false"/>
        </w:rPr>
        <w:t xml:space="preserve">Phase 1 orchestration was the authentic pre-Pipelines pattern — AWS Step Functions (Data Science SDK) and Jenkins-driven SageMaker SDK calls. As the tooling matured, workflows migrated to SageMaker Pipelines (post Dec 2020 GA) for native retries, caching, and lineage. Steps were built idempotent and restartable so a failure didn’t leave partial state requiring manual cleanup.</w:t>
      </w:r>
    </w:p>
    <w:p>
      <w:pPr>
        <w:pStyle w:val="Heading2"/>
      </w:pPr>
      <w:r>
        <w:t xml:space="preserve">Strategy 5 — Validation gates &amp; model registry</w:t>
      </w:r>
    </w:p>
    <w:p>
      <w:pPr>
        <w:spacing w:after="160" w:line="276"/>
      </w:pPr>
      <w:r>
        <w:rPr>
          <w:b w:val="false"/>
          <w:bCs w:val="false"/>
          <w:i w:val="false"/>
          <w:iCs w:val="false"/>
        </w:rPr>
        <w:t xml:space="preserve">Promotion was codified, not subjective: challenger-vs-champion comparison plus quality and bias/fairness thresholds (SageMaker Clarify) enforced in the workflow, so only gate-passing models became promotable. MLflow served as the canonical experiment and lineage record, with SageMaker Model Registry adopted later for versioned artifacts and approval status. Each registry entry carried an auto-generated validation packet — data, code, metrics, lineage — so validators consumed a standard artifact instead of chasing the developer.</w:t>
      </w:r>
    </w:p>
    <w:p>
      <w:pPr>
        <w:pStyle w:val="Heading2"/>
      </w:pPr>
      <w:r>
        <w:t xml:space="preserve">Strategy 6 — Infrastructure as code</w:t>
      </w:r>
    </w:p>
    <w:p>
      <w:pPr>
        <w:spacing w:after="160" w:line="276"/>
      </w:pPr>
      <w:r>
        <w:rPr>
          <w:b w:val="false"/>
          <w:bCs w:val="false"/>
          <w:i w:val="false"/>
          <w:iCs w:val="false"/>
        </w:rPr>
        <w:t xml:space="preserve">All AWS resources — IAM, VPC networking, SageMaker, logging — were provisioned via Terraform modules, making dev, UAT, and prod identical by construction. In a regulated environment, environment drift is a validation failure waiting to happen; IaC makes “it passed UAT but failed in prod” a non-event.</w:t>
      </w:r>
    </w:p>
    <w:p>
      <w:pPr>
        <w:pStyle w:val="Heading2"/>
      </w:pPr>
      <w:r>
        <w:t xml:space="preserve">Strategy 7 — Drift monitoring → governed retraining</w:t>
      </w:r>
    </w:p>
    <w:p>
      <w:pPr>
        <w:spacing w:after="160" w:line="276"/>
      </w:pPr>
      <w:r>
        <w:rPr>
          <w:b w:val="false"/>
          <w:bCs w:val="false"/>
          <w:i w:val="false"/>
          <w:iCs w:val="false"/>
        </w:rPr>
        <w:t xml:space="preserve">SageMaker Model Monitor baselines plus CloudWatch and Lambda drift rules detected data and concept drift. Crucially, a drift trigger produced a retraining candidate, not an auto-promotion — serving stayed on the current validated endpoint until the new model cleared the same validation gates. That keeps an un-revalidated model from ever touching a business decision.</w:t>
      </w:r>
    </w:p>
    <w:p>
      <w:r>
        <w:br w:type="page"/>
      </w:r>
    </w:p>
    <w:p>
      <w:pPr>
        <w:pStyle w:val="Heading1"/>
      </w:pPr>
      <w:r>
        <w:t xml:space="preserve">6. The Model Validation &amp; Risk-Monitoring Framework</w:t>
      </w:r>
    </w:p>
    <w:tbl>
      <w:tblPr>
        <w:tblW w:type="dxa" w:w="9360"/>
        <w:tblBorders>
          <w:top w:val="single" w:color="E9F2F9" w:sz="1"/>
          <w:left w:val="single" w:color="056DAE" w:sz="24"/>
          <w:bottom w:val="single" w:color="E9F2F9" w:sz="1"/>
          <w:right w:val="single" w:color="E9F2F9" w:sz="1"/>
          <w:insideH w:val="single" w:color="auto" w:sz="4"/>
          <w:insideV w:val="single" w:color="auto" w:sz="4"/>
        </w:tblBorders>
      </w:tblPr>
      <w:tblGrid>
        <w:gridCol w:w="9360"/>
      </w:tblGrid>
      <w:tr>
        <w:tc>
          <w:tcPr>
            <w:tcW w:type="dxa" w:w="9360"/>
            <w:shd w:fill="E9F2F9" w:val="clear"/>
            <w:tcMar>
              <w:top w:type="dxa" w:w="120"/>
              <w:left w:type="dxa" w:w="200"/>
              <w:bottom w:type="dxa" w:w="120"/>
              <w:right w:type="dxa" w:w="200"/>
            </w:tcMar>
          </w:tcPr>
          <w:p>
            <w:pPr>
              <w:spacing w:after="60"/>
            </w:pPr>
            <w:r>
              <w:rPr>
                <w:b/>
                <w:bCs/>
                <w:color w:val="002D72"/>
              </w:rPr>
              <w:t xml:space="preserve">Thesis (lead with this)</w:t>
            </w:r>
          </w:p>
          <w:p>
            <w:r>
              <w:t xml:space="preserve">“In a bank, evaluation isn’t a metric on a notebook — it’s a governance program. I encoded the SR 11-7 controls into the platform: independent-validation-ready packets, challenger-vs-champion gates, bias/fairness thresholds, drift monitoring, and full lineage — so every promotion decision is consistent, recorded, and reconstructable.”</w:t>
            </w:r>
          </w:p>
        </w:tc>
      </w:tr>
    </w:tbl>
    <w:p>
      <w:pPr>
        <w:pStyle w:val="Heading2"/>
      </w:pPr>
      <w:r>
        <w:t xml:space="preserve">The control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60"/>
        <w:gridCol w:w="3300"/>
      </w:tblGrid>
      <w:tr>
        <w:trPr>
          <w:tblHeader/>
        </w:trPr>
        <w:tc>
          <w:tcPr>
            <w:tcW w:type="dxa" w:w="210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Layer</w:t>
            </w:r>
          </w:p>
        </w:tc>
        <w:tc>
          <w:tcPr>
            <w:tcW w:type="dxa" w:w="396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What it checks</w:t>
            </w:r>
          </w:p>
        </w:tc>
        <w:tc>
          <w:tcPr>
            <w:tcW w:type="dxa" w:w="330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How</w:t>
            </w:r>
          </w:p>
        </w:tc>
      </w:tr>
      <w:tr>
        <w:tc>
          <w:tcPr>
            <w:tcW w:type="dxa" w:w="21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Data validation</w:t>
            </w:r>
          </w:p>
        </w:tc>
        <w:tc>
          <w:tcPr>
            <w:tcW w:type="dxa" w:w="39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PII masked; schema and distribution sane; dataset versioned</w:t>
            </w:r>
          </w:p>
        </w:tc>
        <w:tc>
          <w:tcPr>
            <w:tcW w:type="dxa" w:w="33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Governance checks in the curated pipeline; versioned S3 snapshots</w:t>
            </w:r>
          </w:p>
        </w:tc>
      </w:tr>
      <w:tr>
        <w:tc>
          <w:tcPr>
            <w:tcW w:type="dxa" w:w="21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Reproducibility</w:t>
            </w:r>
          </w:p>
        </w:tc>
        <w:tc>
          <w:tcPr>
            <w:tcW w:type="dxa" w:w="396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Model reconstructable from data + code + params</w:t>
            </w:r>
          </w:p>
        </w:tc>
        <w:tc>
          <w:tcPr>
            <w:tcW w:type="dxa" w:w="33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MLflow lineage; pinned dataset/commit/hyperparameters per run</w:t>
            </w:r>
          </w:p>
        </w:tc>
      </w:tr>
      <w:tr>
        <w:tc>
          <w:tcPr>
            <w:tcW w:type="dxa" w:w="21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Performance gate</w:t>
            </w:r>
          </w:p>
        </w:tc>
        <w:tc>
          <w:tcPr>
            <w:tcW w:type="dxa" w:w="39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Meets quality thresholds vs the incumbent</w:t>
            </w:r>
          </w:p>
        </w:tc>
        <w:tc>
          <w:tcPr>
            <w:tcW w:type="dxa" w:w="33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Challenger-vs-champion comparison on a held-out set</w:t>
            </w:r>
          </w:p>
        </w:tc>
      </w:tr>
      <w:tr>
        <w:tc>
          <w:tcPr>
            <w:tcW w:type="dxa" w:w="21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Fairness / bias gate</w:t>
            </w:r>
          </w:p>
        </w:tc>
        <w:tc>
          <w:tcPr>
            <w:tcW w:type="dxa" w:w="396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No disallowed bias across protected attributes</w:t>
            </w:r>
          </w:p>
        </w:tc>
        <w:tc>
          <w:tcPr>
            <w:tcW w:type="dxa" w:w="33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SageMaker Clarify bias metrics enforced as a gate</w:t>
            </w:r>
          </w:p>
        </w:tc>
      </w:tr>
      <w:tr>
        <w:tc>
          <w:tcPr>
            <w:tcW w:type="dxa" w:w="21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Promotion control</w:t>
            </w:r>
          </w:p>
        </w:tc>
        <w:tc>
          <w:tcPr>
            <w:tcW w:type="dxa" w:w="39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Only gate-passing models reach prod; decision recorded</w:t>
            </w:r>
          </w:p>
        </w:tc>
        <w:tc>
          <w:tcPr>
            <w:tcW w:type="dxa" w:w="33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Model Registry approval status; CodePipeline promotion gates</w:t>
            </w:r>
          </w:p>
        </w:tc>
      </w:tr>
      <w:tr>
        <w:tc>
          <w:tcPr>
            <w:tcW w:type="dxa" w:w="21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Drift monitoring</w:t>
            </w:r>
          </w:p>
        </w:tc>
        <w:tc>
          <w:tcPr>
            <w:tcW w:type="dxa" w:w="396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Data &amp; concept drift on live traffic</w:t>
            </w:r>
          </w:p>
        </w:tc>
        <w:tc>
          <w:tcPr>
            <w:tcW w:type="dxa" w:w="33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Model Monitor baselines + CloudWatch/Lambda → governed retrain</w:t>
            </w:r>
          </w:p>
        </w:tc>
      </w:tr>
      <w:tr>
        <w:tc>
          <w:tcPr>
            <w:tcW w:type="dxa" w:w="21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Audit &amp; lineage</w:t>
            </w:r>
          </w:p>
        </w:tc>
        <w:tc>
          <w:tcPr>
            <w:tcW w:type="dxa" w:w="39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Reconstruct any production prediction’s origins</w:t>
            </w:r>
          </w:p>
        </w:tc>
        <w:tc>
          <w:tcPr>
            <w:tcW w:type="dxa" w:w="33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Lineage record + recorded promotion decisions for SR 11-7</w:t>
            </w:r>
          </w:p>
        </w:tc>
      </w:tr>
    </w:tbl>
    <w:p>
      <w:pPr>
        <w:pStyle w:val="Heading2"/>
      </w:pPr>
      <w:r>
        <w:t xml:space="preserve">What makes it bank-grade (the differentiator)</w:t>
      </w:r>
    </w:p>
    <w:p>
      <w:pPr>
        <w:pStyle w:val="ListParagraph"/>
        <w:numPr>
          <w:ilvl w:val="0"/>
          <w:numId w:val="2"/>
        </w:numPr>
        <w:spacing w:after="80" w:line="270"/>
      </w:pPr>
      <w:r>
        <w:rPr>
          <w:b/>
          <w:bCs/>
          <w:i w:val="false"/>
          <w:iCs w:val="false"/>
        </w:rPr>
        <w:t xml:space="preserve">Independence preserved. </w:t>
      </w:r>
      <w:r>
        <w:t xml:space="preserve">The platform produces validation-ready packets but doesn’t self-certify — independent validators still own the sign-off, exactly as SR 11-7 requires.</w:t>
      </w:r>
    </w:p>
    <w:p>
      <w:pPr>
        <w:pStyle w:val="ListParagraph"/>
        <w:numPr>
          <w:ilvl w:val="0"/>
          <w:numId w:val="2"/>
        </w:numPr>
        <w:spacing w:after="80" w:line="270"/>
      </w:pPr>
      <w:r>
        <w:rPr>
          <w:b/>
          <w:bCs/>
          <w:i w:val="false"/>
          <w:iCs w:val="false"/>
        </w:rPr>
        <w:t xml:space="preserve">Re-validation before promotion. </w:t>
      </w:r>
      <w:r>
        <w:t xml:space="preserve">A retrained model is a candidate; it serves nothing until it clears the same gates — no silent promotion on drift.</w:t>
      </w:r>
    </w:p>
    <w:p>
      <w:pPr>
        <w:pStyle w:val="ListParagraph"/>
        <w:numPr>
          <w:ilvl w:val="0"/>
          <w:numId w:val="2"/>
        </w:numPr>
        <w:spacing w:after="80" w:line="270"/>
      </w:pPr>
      <w:r>
        <w:rPr>
          <w:b/>
          <w:bCs/>
          <w:i w:val="false"/>
          <w:iCs w:val="false"/>
        </w:rPr>
        <w:t xml:space="preserve">Everything recorded. </w:t>
      </w:r>
      <w:r>
        <w:t xml:space="preserve">Lineage, gate results, and promotion decisions are durable artifacts, not email threads — an auditor can reconstruct the path.</w:t>
      </w:r>
    </w:p>
    <w:p>
      <w:pPr>
        <w:pStyle w:val="ListParagraph"/>
        <w:numPr>
          <w:ilvl w:val="0"/>
          <w:numId w:val="2"/>
        </w:numPr>
        <w:spacing w:after="80" w:line="270"/>
      </w:pPr>
      <w:r>
        <w:rPr>
          <w:b/>
          <w:bCs/>
          <w:i w:val="false"/>
          <w:iCs w:val="false"/>
        </w:rPr>
        <w:t xml:space="preserve">Challenger-vs-champion as a habit. </w:t>
      </w:r>
      <w:r>
        <w:t xml:space="preserve">New models earn production by beating the incumbent on a fair comparison, not by assertion.</w:t>
      </w:r>
    </w:p>
    <w:p>
      <w:r>
        <w:br w:type="page"/>
      </w:r>
    </w:p>
    <w:p>
      <w:pPr>
        <w:pStyle w:val="Heading1"/>
      </w:pPr>
      <w:r>
        <w:t xml:space="preserve">7. The AWS Stack — Every Service, Why, and How</w:t>
      </w:r>
    </w:p>
    <w:p>
      <w:pPr>
        <w:spacing w:after="160" w:line="276"/>
      </w:pPr>
      <w:r>
        <w:rPr>
          <w:b w:val="false"/>
          <w:bCs w:val="false"/>
          <w:i w:val="false"/>
          <w:iCs w:val="false"/>
        </w:rPr>
        <w:t xml:space="preserve">The full stack, grouped by role. As with the Home Depot story, a distinctive feature here is that it’s timeline-honest — the verification table at the end maps every tool to when it was actually available on AWS, which is a credibility asset with a sharp MLOps interviewer.</w:t>
      </w:r>
    </w:p>
    <w:p>
      <w:pPr>
        <w:pStyle w:val="Heading2"/>
      </w:pPr>
      <w:r>
        <w:t xml:space="preserve">Training, registry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Service</w:t>
            </w:r>
          </w:p>
        </w:tc>
        <w:tc>
          <w:tcPr>
            <w:tcW w:type="dxa" w:w="348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Amazon SageMaker</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Managed training compute</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Runs training jobs in reproducible containers</w:t>
            </w:r>
          </w:p>
        </w:tc>
      </w:tr>
      <w:tr>
        <w:tc>
          <w:tcPr>
            <w:tcW w:type="dxa" w:w="24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SageMaker Pipelines</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Native orchestration (Phase 3)</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End-to-end pipeline with retries, caching, lineage (post Dec 2020 GA)</w:t>
            </w:r>
          </w:p>
        </w:tc>
      </w:tr>
      <w:tr>
        <w:tc>
          <w:tcPr>
            <w:tcW w:type="dxa" w:w="24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SageMaker Model Registry</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Versioned models + approval status (Phase 3)</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Promotable artifacts gated on approval (Dec 2020)</w:t>
            </w:r>
          </w:p>
        </w:tc>
      </w:tr>
      <w:tr>
        <w:tc>
          <w:tcPr>
            <w:tcW w:type="dxa" w:w="24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SageMaker Model Monitor</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Drift baselines</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Detects data/concept drift on live endpoints (re:Invent 2019)</w:t>
            </w:r>
          </w:p>
        </w:tc>
      </w:tr>
      <w:tr>
        <w:tc>
          <w:tcPr>
            <w:tcW w:type="dxa" w:w="24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SageMaker Clarify</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Bias / explainability</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Fairness metrics enforced as a promotion gate</w:t>
            </w:r>
          </w:p>
        </w:tc>
      </w:tr>
      <w:tr>
        <w:tc>
          <w:tcPr>
            <w:tcW w:type="dxa" w:w="24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MLflow</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Experiment tracking &amp; lineage</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Canonical model-risk experiment record across the tenure</w:t>
            </w:r>
          </w:p>
        </w:tc>
      </w:tr>
    </w:tbl>
    <w:p>
      <w:pPr>
        <w:pStyle w:val="Heading2"/>
      </w:pPr>
      <w:r>
        <w:t xml:space="preserve">Orchestration &amp;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Service</w:t>
            </w:r>
          </w:p>
        </w:tc>
        <w:tc>
          <w:tcPr>
            <w:tcW w:type="dxa" w:w="348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AWS Step Functions (Data Science SDK)</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Pre-Pipelines orchestration (Phase 1–2)</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Authentic 2019–2020 SageMaker workflow orchestration</w:t>
            </w:r>
          </w:p>
        </w:tc>
      </w:tr>
      <w:tr>
        <w:tc>
          <w:tcPr>
            <w:tcW w:type="dxa" w:w="24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Jenkins</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CI: build / test / version</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Drives SageMaker SDK calls; runs pytest on modules</w:t>
            </w:r>
          </w:p>
        </w:tc>
      </w:tr>
      <w:tr>
        <w:tc>
          <w:tcPr>
            <w:tcW w:type="dxa" w:w="24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AWS CodePipeline</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Artifact promotion</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Promotes across dev/UAT/prod with gates and rollback</w:t>
            </w:r>
          </w:p>
        </w:tc>
      </w:tr>
      <w:tr>
        <w:tc>
          <w:tcPr>
            <w:tcW w:type="dxa" w:w="24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Docker / Amazon ECR</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Reproducible environments</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Same image for training and serving; versioned in ECR</w:t>
            </w:r>
          </w:p>
        </w:tc>
      </w:tr>
    </w:tbl>
    <w:p>
      <w:pPr>
        <w:pStyle w:val="Heading2"/>
      </w:pPr>
      <w:r>
        <w:t xml:space="preserve">Data, infra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Service</w:t>
            </w:r>
          </w:p>
        </w:tc>
        <w:tc>
          <w:tcPr>
            <w:tcW w:type="dxa" w:w="348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Amazon S3</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Immutable artifact &amp; dataset store</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Versioned datasets and model artifacts; never read from live tables</w:t>
            </w:r>
          </w:p>
        </w:tc>
      </w:tr>
      <w:tr>
        <w:tc>
          <w:tcPr>
            <w:tcW w:type="dxa" w:w="24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Amazon RDS</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Source data</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Feeds the curated, PII-masked dataset pipeline</w:t>
            </w:r>
          </w:p>
        </w:tc>
      </w:tr>
      <w:tr>
        <w:tc>
          <w:tcPr>
            <w:tcW w:type="dxa" w:w="24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Terraform</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Infrastructure as code</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IAM, VPC, SageMaker, logging as modules — identical environments</w:t>
            </w:r>
          </w:p>
        </w:tc>
      </w:tr>
      <w:tr>
        <w:tc>
          <w:tcPr>
            <w:tcW w:type="dxa" w:w="24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AWS IAM + Amazon VPC</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Access &amp; network governance</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Deny-by-default access; network isolation for regulated workloads</w:t>
            </w:r>
          </w:p>
        </w:tc>
      </w:tr>
      <w:tr>
        <w:tc>
          <w:tcPr>
            <w:tcW w:type="dxa" w:w="24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Amazon CloudWatch + AWS Lambda</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Metrics, logging &amp; drift rules</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Alarms and Lambda drift logic that trigger governed retraining</w:t>
            </w:r>
          </w:p>
        </w:tc>
      </w:tr>
    </w:tbl>
    <w:p>
      <w:pPr>
        <w:pStyle w:val="Heading2"/>
      </w:pPr>
      <w:r>
        <w:t xml:space="preserve">Technology timeline verification (the credibility centerpiece)</w:t>
      </w:r>
    </w:p>
    <w:p>
      <w:pPr>
        <w:spacing w:after="160" w:line="276"/>
      </w:pPr>
      <w:r>
        <w:rPr>
          <w:b w:val="false"/>
          <w:bCs w:val="false"/>
          <w:i w:val="false"/>
          <w:iCs w:val="false"/>
        </w:rPr>
        <w:t xml:space="preserve">The one anachronism worth correcting once and owning forever: SageMaker Pipelines was announced December 8, 2020, so it could only have backed the final ~8 months of a 24-month tenure — hence the migration narrative rather than a Pipelines-from-day-one claim. Banks also adopt net-new AWS services cautiously, so realistic adoption is evaluation in early 2021 and a pilot mid-2021.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600"/>
        <w:gridCol w:w="2560"/>
      </w:tblGrid>
      <w:tr>
        <w:trPr>
          <w:tblHeader/>
        </w:trPr>
        <w:tc>
          <w:tcPr>
            <w:tcW w:type="dxa" w:w="300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Technology</w:t>
            </w:r>
          </w:p>
        </w:tc>
        <w:tc>
          <w:tcPr>
            <w:tcW w:type="dxa" w:w="220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Available since</w:t>
            </w:r>
          </w:p>
        </w:tc>
        <w:tc>
          <w:tcPr>
            <w:tcW w:type="dxa" w:w="160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Phase</w:t>
            </w:r>
          </w:p>
        </w:tc>
        <w:tc>
          <w:tcPr>
            <w:tcW w:type="dxa" w:w="256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Note</w:t>
            </w:r>
          </w:p>
        </w:tc>
      </w:tr>
      <w:tr>
        <w:tc>
          <w:tcPr>
            <w:tcW w:type="dxa" w:w="30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Step Functions Data Science SDK</w:t>
            </w:r>
          </w:p>
        </w:tc>
        <w:tc>
          <w:tcPr>
            <w:tcW w:type="dxa" w:w="22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2019</w:t>
            </w:r>
          </w:p>
        </w:tc>
        <w:tc>
          <w:tcPr>
            <w:tcW w:type="dxa" w:w="16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1–2</w:t>
            </w:r>
          </w:p>
        </w:tc>
        <w:tc>
          <w:tcPr>
            <w:tcW w:type="dxa" w:w="25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Authentic pre-Pipelines orchestrator</w:t>
            </w:r>
          </w:p>
        </w:tc>
      </w:tr>
      <w:tr>
        <w:tc>
          <w:tcPr>
            <w:tcW w:type="dxa" w:w="30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Jenkins, CodePipeline, Docker, ECR</w:t>
            </w:r>
          </w:p>
        </w:tc>
        <w:tc>
          <w:tcPr>
            <w:tcW w:type="dxa" w:w="22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Mature</w:t>
            </w:r>
          </w:p>
        </w:tc>
        <w:tc>
          <w:tcPr>
            <w:tcW w:type="dxa" w:w="16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1</w:t>
            </w:r>
          </w:p>
        </w:tc>
        <w:tc>
          <w:tcPr>
            <w:tcW w:type="dxa" w:w="256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Standard in banking by 2019</w:t>
            </w:r>
          </w:p>
        </w:tc>
      </w:tr>
      <w:tr>
        <w:tc>
          <w:tcPr>
            <w:tcW w:type="dxa" w:w="30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Terraform, S3, RDS, IAM, VPC</w:t>
            </w:r>
          </w:p>
        </w:tc>
        <w:tc>
          <w:tcPr>
            <w:tcW w:type="dxa" w:w="22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Mature</w:t>
            </w:r>
          </w:p>
        </w:tc>
        <w:tc>
          <w:tcPr>
            <w:tcW w:type="dxa" w:w="16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1</w:t>
            </w:r>
          </w:p>
        </w:tc>
        <w:tc>
          <w:tcPr>
            <w:tcW w:type="dxa" w:w="25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Period-accurate</w:t>
            </w:r>
          </w:p>
        </w:tc>
      </w:tr>
      <w:tr>
        <w:tc>
          <w:tcPr>
            <w:tcW w:type="dxa" w:w="30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CloudWatch + Lambda drift rules</w:t>
            </w:r>
          </w:p>
        </w:tc>
        <w:tc>
          <w:tcPr>
            <w:tcW w:type="dxa" w:w="22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Mature</w:t>
            </w:r>
          </w:p>
        </w:tc>
        <w:tc>
          <w:tcPr>
            <w:tcW w:type="dxa" w:w="16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1</w:t>
            </w:r>
          </w:p>
        </w:tc>
        <w:tc>
          <w:tcPr>
            <w:tcW w:type="dxa" w:w="256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Plausible custom pattern</w:t>
            </w:r>
          </w:p>
        </w:tc>
      </w:tr>
      <w:tr>
        <w:tc>
          <w:tcPr>
            <w:tcW w:type="dxa" w:w="30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Amazon SageMaker (training)</w:t>
            </w:r>
          </w:p>
        </w:tc>
        <w:tc>
          <w:tcPr>
            <w:tcW w:type="dxa" w:w="22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2017</w:t>
            </w:r>
          </w:p>
        </w:tc>
        <w:tc>
          <w:tcPr>
            <w:tcW w:type="dxa" w:w="16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1</w:t>
            </w:r>
          </w:p>
        </w:tc>
        <w:tc>
          <w:tcPr>
            <w:tcW w:type="dxa" w:w="25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Period-accurate</w:t>
            </w:r>
          </w:p>
        </w:tc>
      </w:tr>
      <w:tr>
        <w:tc>
          <w:tcPr>
            <w:tcW w:type="dxa" w:w="30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MLflow</w:t>
            </w:r>
          </w:p>
        </w:tc>
        <w:tc>
          <w:tcPr>
            <w:tcW w:type="dxa" w:w="22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2018–19 (dominant)</w:t>
            </w:r>
          </w:p>
        </w:tc>
        <w:tc>
          <w:tcPr>
            <w:tcW w:type="dxa" w:w="16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1</w:t>
            </w:r>
          </w:p>
        </w:tc>
        <w:tc>
          <w:tcPr>
            <w:tcW w:type="dxa" w:w="256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Canonical experiment/lineage record</w:t>
            </w:r>
          </w:p>
        </w:tc>
      </w:tr>
      <w:tr>
        <w:tc>
          <w:tcPr>
            <w:tcW w:type="dxa" w:w="30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SageMaker Model Monitor</w:t>
            </w:r>
          </w:p>
        </w:tc>
        <w:tc>
          <w:tcPr>
            <w:tcW w:type="dxa" w:w="22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Dec 2019</w:t>
            </w:r>
          </w:p>
        </w:tc>
        <w:tc>
          <w:tcPr>
            <w:tcW w:type="dxa" w:w="16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2</w:t>
            </w:r>
          </w:p>
        </w:tc>
        <w:tc>
          <w:tcPr>
            <w:tcW w:type="dxa" w:w="25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Available ~20 months of tenure</w:t>
            </w:r>
          </w:p>
        </w:tc>
      </w:tr>
      <w:tr>
        <w:tc>
          <w:tcPr>
            <w:tcW w:type="dxa" w:w="30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SageMaker Clarify</w:t>
            </w:r>
          </w:p>
        </w:tc>
        <w:tc>
          <w:tcPr>
            <w:tcW w:type="dxa" w:w="22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Dec 2020</w:t>
            </w:r>
          </w:p>
        </w:tc>
        <w:tc>
          <w:tcPr>
            <w:tcW w:type="dxa" w:w="16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2–3 (late)</w:t>
            </w:r>
          </w:p>
        </w:tc>
        <w:tc>
          <w:tcPr>
            <w:tcW w:type="dxa" w:w="256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Bias gating; late-tenure</w:t>
            </w:r>
          </w:p>
        </w:tc>
      </w:tr>
      <w:tr>
        <w:tc>
          <w:tcPr>
            <w:tcW w:type="dxa" w:w="30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SageMaker Pipelines</w:t>
            </w:r>
          </w:p>
        </w:tc>
        <w:tc>
          <w:tcPr>
            <w:tcW w:type="dxa" w:w="22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Dec 8, 2020</w:t>
            </w:r>
          </w:p>
        </w:tc>
        <w:tc>
          <w:tcPr>
            <w:tcW w:type="dxa" w:w="16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3</w:t>
            </w:r>
          </w:p>
        </w:tc>
        <w:tc>
          <w:tcPr>
            <w:tcW w:type="dxa" w:w="256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Flag: only final ~8 months — migration story</w:t>
            </w:r>
          </w:p>
        </w:tc>
      </w:tr>
      <w:tr>
        <w:tc>
          <w:tcPr>
            <w:tcW w:type="dxa" w:w="30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SageMaker Model Registry</w:t>
            </w:r>
          </w:p>
        </w:tc>
        <w:tc>
          <w:tcPr>
            <w:tcW w:type="dxa" w:w="22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Dec 2020</w:t>
            </w:r>
          </w:p>
        </w:tc>
        <w:tc>
          <w:tcPr>
            <w:tcW w:type="dxa" w:w="16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3</w:t>
            </w:r>
          </w:p>
        </w:tc>
        <w:tc>
          <w:tcPr>
            <w:tcW w:type="dxa" w:w="256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Flag: adopted alongside MLflow, late-tenure</w:t>
            </w:r>
          </w:p>
        </w:tc>
      </w:tr>
    </w:tbl>
    <w:p>
      <w:r>
        <w:br w:type="page"/>
      </w:r>
    </w:p>
    <w:p>
      <w:pPr>
        <w:pStyle w:val="Heading1"/>
      </w:pPr>
      <w:r>
        <w:t xml:space="preserve">8. Pain Points by Layer &amp; Mitigations</w:t>
      </w:r>
    </w:p>
    <w:p>
      <w:pPr>
        <w:spacing w:after="160" w:line="276"/>
      </w:pPr>
      <w:r>
        <w:rPr>
          <w:b w:val="false"/>
          <w:bCs w:val="false"/>
          <w:i w:val="false"/>
          <w:iCs w:val="false"/>
        </w:rPr>
        <w:t xml:space="preserve">The inevitable senior follow-up to any architecture pitch is “where does this break in production?” Below are two pain points per layer of the MLOps lifecycle — twelve in total — each tagged by its primary concern.</w:t>
      </w:r>
    </w:p>
    <w:p>
      <w:pPr>
        <w:spacing w:after="160" w:line="276"/>
      </w:pPr>
      <w:r>
        <w:rPr>
          <w:b/>
          <w:bCs/>
          <w:i w:val="false"/>
          <w:iCs w:val="false"/>
        </w:rPr>
        <w:t xml:space="preserve">Legend:  </w:t>
      </w:r>
      <w:r>
        <w:rPr>
          <w:b/>
          <w:bCs/>
          <w:i w:val="false"/>
          <w:iCs w:val="false"/>
          <w:color w:val="056DAE"/>
        </w:rPr>
        <w:t xml:space="preserve">integration</w:t>
      </w:r>
      <w:r>
        <w:t xml:space="preserve">   ·   </w:t>
      </w:r>
      <w:r>
        <w:rPr>
          <w:b/>
          <w:bCs/>
          <w:i w:val="false"/>
          <w:iCs w:val="false"/>
          <w:color w:val="B45309"/>
        </w:rPr>
        <w:t xml:space="preserve">pipeline / latency</w:t>
      </w:r>
      <w:r>
        <w:t xml:space="preserve">   ·   </w:t>
      </w:r>
      <w:r>
        <w:rPr>
          <w:b/>
          <w:bCs/>
          <w:i w:val="false"/>
          <w:iCs w:val="false"/>
          <w:color w:val="B91C1C"/>
        </w:rPr>
        <w:t xml:space="preserve">model risk &amp; governance</w:t>
      </w:r>
    </w:p>
    <w:p>
      <w:pPr>
        <w:pStyle w:val="Heading2"/>
      </w:pPr>
      <w:r>
        <w:t xml:space="preserve">Layer 1 — Data &amp; source (S3 / RDS, PII masking,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color w:val="B91C1C"/>
                <w:sz w:val="19"/>
                <w:szCs w:val="19"/>
              </w:rPr>
              <w:t xml:space="preserve">governance</w:t>
            </w:r>
          </w:p>
        </w:tc>
        <w:tc>
          <w:tcPr>
            <w:tcW w:type="dxa" w:w="196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sz w:val="20"/>
                <w:szCs w:val="20"/>
              </w:rPr>
              <w:t xml:space="preserve">PII leakage into training data</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Raw RDS/S3 extracts contain PII that must never reach a model or feature store; a single missed masking rule is a compliance breach.</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Centralized PII masking in the curated pipeline (not per-team); column-level governance checks; deny-by-default IAM; a masked-data gate before any training job can read.</w:t>
            </w:r>
          </w:p>
        </w:tc>
      </w:tr>
      <w:tr>
        <w:tc>
          <w:tcPr>
            <w:tcW w:type="dxa" w:w="112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color w:val="056DAE"/>
                <w:sz w:val="19"/>
                <w:szCs w:val="19"/>
              </w:rPr>
              <w:t xml:space="preserve">integration</w:t>
            </w:r>
          </w:p>
        </w:tc>
        <w:tc>
          <w:tcPr>
            <w:tcW w:type="dxa" w:w="196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sz w:val="20"/>
                <w:szCs w:val="20"/>
              </w:rPr>
              <w:t xml:space="preserve">Dataset-version drift breaks reproducibility</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A model trained on a silently-updated RDS snapshot can’t be reconstructed for validation — which fails SR 11-7.</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Immutable, versioned S3 dataset snapshots; the dataset version pinned into the lineage record; train/val/test splits tied to the version; never train off live tables.</w:t>
            </w:r>
          </w:p>
        </w:tc>
      </w:tr>
    </w:tbl>
    <w:p>
      <w:pPr>
        <w:pStyle w:val="Heading2"/>
      </w:pPr>
      <w:r>
        <w:t xml:space="preserve">Layer 2 — Training &amp; experimentation (SageMaker, MLflow)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color w:val="B91C1C"/>
                <w:sz w:val="19"/>
                <w:szCs w:val="19"/>
              </w:rPr>
              <w:t xml:space="preserve">governance</w:t>
            </w:r>
          </w:p>
        </w:tc>
        <w:tc>
          <w:tcPr>
            <w:tcW w:type="dxa" w:w="196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sz w:val="20"/>
                <w:szCs w:val="20"/>
              </w:rPr>
              <w:t xml:space="preserve">Untracked experiments / lineage gaps</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A data scientist trains dozens of variants in a notebook; the one that ships has no recorded data, params, or commit — so validators can’t reconstruct it.</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MLflow logging as the canonical record; enforce run-id + git commit + dataset version on every job; no registry entry without a complete lineage record.</w:t>
            </w:r>
          </w:p>
        </w:tc>
      </w:tr>
      <w:tr>
        <w:tc>
          <w:tcPr>
            <w:tcW w:type="dxa" w:w="112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color w:val="056DAE"/>
                <w:sz w:val="19"/>
                <w:szCs w:val="19"/>
              </w:rPr>
              <w:t xml:space="preserve">integration</w:t>
            </w:r>
          </w:p>
        </w:tc>
        <w:tc>
          <w:tcPr>
            <w:tcW w:type="dxa" w:w="196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sz w:val="20"/>
                <w:szCs w:val="20"/>
              </w:rPr>
              <w:t xml:space="preserve">Notebook-to-production drift</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Notebook code differs from the productionized module, so the deployed model behaves differently from the validated one.</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Refactor notebooks into pytest-tested modules; reproducible Docker images in ECR; train and serve from the same image; CI runs the module, not the notebook.</w:t>
            </w:r>
          </w:p>
        </w:tc>
      </w:tr>
    </w:tbl>
    <w:p>
      <w:pPr>
        <w:pStyle w:val="Heading2"/>
      </w:pPr>
      <w:r>
        <w:t xml:space="preserve">Layer 3 — Orchestration &amp;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color w:val="B45309"/>
                <w:sz w:val="19"/>
                <w:szCs w:val="19"/>
              </w:rPr>
              <w:t xml:space="preserve">pipeline</w:t>
            </w:r>
          </w:p>
        </w:tc>
        <w:tc>
          <w:tcPr>
            <w:tcW w:type="dxa" w:w="196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sz w:val="20"/>
                <w:szCs w:val="20"/>
              </w:rPr>
              <w:t xml:space="preserve">Brittle hand-rolled orchestration</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Jenkins + Step Functions glue is fragile; a failed step leaves partial state and manual cleanup, slowing every release.</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Idempotent, restartable steps; migrate to SageMaker Pipelines for native retries/caching/lineage; CodePipeline gates; alerting on step failure.</w:t>
            </w:r>
          </w:p>
        </w:tc>
      </w:tr>
      <w:tr>
        <w:tc>
          <w:tcPr>
            <w:tcW w:type="dxa" w:w="112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color w:val="056DAE"/>
                <w:sz w:val="19"/>
                <w:szCs w:val="19"/>
              </w:rPr>
              <w:t xml:space="preserve">integration</w:t>
            </w:r>
          </w:p>
        </w:tc>
        <w:tc>
          <w:tcPr>
            <w:tcW w:type="dxa" w:w="196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sz w:val="20"/>
                <w:szCs w:val="20"/>
              </w:rPr>
              <w:t xml:space="preserve">Environment drift across dev/UAT/prod</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Hand-configured infrastructure diverges between environments, so a model that passed UAT fails in prod.</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Terraform modules as the single source of truth for IAM/VPC/SageMaker/logging; identical environments by construction; promotion only through CodePipeline.</w:t>
            </w:r>
          </w:p>
        </w:tc>
      </w:tr>
    </w:tbl>
    <w:p>
      <w:pPr>
        <w:pStyle w:val="Heading2"/>
      </w:pPr>
      <w:r>
        <w:t xml:space="preserve">Layer 4 — Validation &amp;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color w:val="B91C1C"/>
                <w:sz w:val="19"/>
                <w:szCs w:val="19"/>
              </w:rPr>
              <w:t xml:space="preserve">governance</w:t>
            </w:r>
          </w:p>
        </w:tc>
        <w:tc>
          <w:tcPr>
            <w:tcW w:type="dxa" w:w="196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sz w:val="20"/>
                <w:szCs w:val="20"/>
              </w:rPr>
              <w:t xml:space="preserve">Subjective, inconsistent promotion</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“Is this model good enough?” decided ad hoc over email — inconsistent, unauditable, and slow.</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Codified gates — challenger-vs-champion plus quality and bias thresholds (Clarify) — enforced in the pipeline; only gate-passing models register as promotable; the decision is recorded.</w:t>
            </w:r>
          </w:p>
        </w:tc>
      </w:tr>
      <w:tr>
        <w:tc>
          <w:tcPr>
            <w:tcW w:type="dxa" w:w="112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color w:val="056DAE"/>
                <w:sz w:val="19"/>
                <w:szCs w:val="19"/>
              </w:rPr>
              <w:t xml:space="preserve">integration</w:t>
            </w:r>
          </w:p>
        </w:tc>
        <w:tc>
          <w:tcPr>
            <w:tcW w:type="dxa" w:w="196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sz w:val="20"/>
                <w:szCs w:val="20"/>
              </w:rPr>
              <w:t xml:space="preserve">Developer–validator handoff friction</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Validators spend their time reconstructing what the developer did instead of validating it.</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Auto-generated validation packet (data, code, metrics, lineage) attached to each registry entry; validators consume a standard artifact; rollback paths aligned to the handoff.</w:t>
            </w:r>
          </w:p>
        </w:tc>
      </w:tr>
    </w:tbl>
    <w:p>
      <w:pPr>
        <w:pStyle w:val="Heading2"/>
      </w:pPr>
      <w:r>
        <w:t xml:space="preserve">Layer 5 — Deployment &amp; serving (SageMaker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color w:val="B45309"/>
                <w:sz w:val="19"/>
                <w:szCs w:val="19"/>
              </w:rPr>
              <w:t xml:space="preserve">pipeline</w:t>
            </w:r>
          </w:p>
        </w:tc>
        <w:tc>
          <w:tcPr>
            <w:tcW w:type="dxa" w:w="196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sz w:val="20"/>
                <w:szCs w:val="20"/>
              </w:rPr>
              <w:t xml:space="preserve">Risky promotion to a live endpoint</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Pushing a new champion straight to a live endpoint risks a bad model hitting real business decisions.</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Blue/green or canary endpoint deploys; automated rollback on metric regression; keep the prior champion warm; rollback aligned to model-risk handoffs.</w:t>
            </w:r>
          </w:p>
        </w:tc>
      </w:tr>
      <w:tr>
        <w:tc>
          <w:tcPr>
            <w:tcW w:type="dxa" w:w="112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color w:val="B91C1C"/>
                <w:sz w:val="19"/>
                <w:szCs w:val="19"/>
              </w:rPr>
              <w:t xml:space="preserve">governance</w:t>
            </w:r>
          </w:p>
        </w:tc>
        <w:tc>
          <w:tcPr>
            <w:tcW w:type="dxa" w:w="196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sz w:val="20"/>
                <w:szCs w:val="20"/>
              </w:rPr>
              <w:t xml:space="preserve">Serving an un-revalidated model</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Drift triggers a retrain, but the retrained model gets served before model-risk re-validation — a governance breach.</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Retraining yields a candidate, not an auto-promotion; serving stays on the current validated endpoint pending re-validation; promotion gated on the same packet.</w:t>
            </w:r>
          </w:p>
        </w:tc>
      </w:tr>
    </w:tbl>
    <w:p>
      <w:pPr>
        <w:pStyle w:val="Heading2"/>
      </w:pPr>
      <w:r>
        <w:t xml:space="preserve">Layer 6 — 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color w:val="B91C1C"/>
                <w:sz w:val="19"/>
                <w:szCs w:val="19"/>
              </w:rPr>
              <w:t xml:space="preserve">governance</w:t>
            </w:r>
          </w:p>
        </w:tc>
        <w:tc>
          <w:tcPr>
            <w:tcW w:type="dxa" w:w="196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b/>
                <w:bCs/>
                <w:sz w:val="20"/>
                <w:szCs w:val="20"/>
              </w:rPr>
              <w:t xml:space="preserve">Undetected data / concept drift</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Input distributions shift, the model silently degrades on real decisions, and nobody notices until business impact appears.</w:t>
            </w:r>
          </w:p>
        </w:tc>
        <w:tc>
          <w:tcPr>
            <w:tcW w:type="dxa" w:w="3140"/>
            <w:tcBorders>
              <w:top w:val="single" w:color="CFE0EE" w:sz="1"/>
              <w:left w:val="single" w:color="CFE0EE" w:sz="1"/>
              <w:bottom w:val="single" w:color="CFE0EE" w:sz="1"/>
              <w:right w:val="single" w:color="CFE0EE" w:sz="1"/>
            </w:tcBorders>
            <w:shd w:fill="FFFFFF" w:val="clear"/>
            <w:tcMar>
              <w:top w:type="dxa" w:w="80"/>
              <w:left w:type="dxa" w:w="110"/>
              <w:bottom w:type="dxa" w:w="80"/>
              <w:right w:type="dxa" w:w="110"/>
            </w:tcMar>
            <w:vAlign w:val="top"/>
          </w:tcPr>
          <w:p>
            <w:pPr>
              <w:spacing w:after="0" w:line="258"/>
            </w:pPr>
            <w:r>
              <w:rPr>
                <w:sz w:val="20"/>
                <w:szCs w:val="20"/>
              </w:rPr>
              <w:t xml:space="preserve">SageMaker Model Monitor baselines + CloudWatch/Lambda drift rules; alert and trigger governed retraining; every drift event logged for audit.</w:t>
            </w:r>
          </w:p>
        </w:tc>
      </w:tr>
      <w:tr>
        <w:tc>
          <w:tcPr>
            <w:tcW w:type="dxa" w:w="112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color w:val="B45309"/>
                <w:sz w:val="19"/>
                <w:szCs w:val="19"/>
              </w:rPr>
              <w:t xml:space="preserve">pipeline</w:t>
            </w:r>
          </w:p>
        </w:tc>
        <w:tc>
          <w:tcPr>
            <w:tcW w:type="dxa" w:w="196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b/>
                <w:bCs/>
                <w:sz w:val="20"/>
                <w:szCs w:val="20"/>
              </w:rPr>
              <w:t xml:space="preserve">Drift-detection lag &amp; alert fatigue</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Batch monitoring detects drift late, or noisy thresholds bury the real signal under false alarms.</w:t>
            </w:r>
          </w:p>
        </w:tc>
        <w:tc>
          <w:tcPr>
            <w:tcW w:type="dxa" w:w="3140"/>
            <w:tcBorders>
              <w:top w:val="single" w:color="CFE0EE" w:sz="1"/>
              <w:left w:val="single" w:color="CFE0EE" w:sz="1"/>
              <w:bottom w:val="single" w:color="CFE0EE" w:sz="1"/>
              <w:right w:val="single" w:color="CFE0EE" w:sz="1"/>
            </w:tcBorders>
            <w:shd w:fill="F1F7FC" w:val="clear"/>
            <w:tcMar>
              <w:top w:type="dxa" w:w="80"/>
              <w:left w:type="dxa" w:w="110"/>
              <w:bottom w:type="dxa" w:w="80"/>
              <w:right w:type="dxa" w:w="110"/>
            </w:tcMar>
            <w:vAlign w:val="top"/>
          </w:tcPr>
          <w:p>
            <w:pPr>
              <w:spacing w:after="0" w:line="258"/>
            </w:pPr>
            <w:r>
              <w:rPr>
                <w:sz w:val="20"/>
                <w:szCs w:val="20"/>
              </w:rPr>
              <w:t xml:space="preserve">Baselines and thresholds tuned per model; severity-tiered alerts; scheduled + event-driven checks; route confirmed drift to the governed retraining pipeline, not a human inbox.</w:t>
            </w:r>
          </w:p>
        </w:tc>
      </w:tr>
    </w:tbl>
    <w:p>
      <w:pPr>
        <w:pStyle w:val="Heading2"/>
      </w:pPr>
      <w:r>
        <w:t xml:space="preserve">The patterns underneath</w:t>
      </w:r>
    </w:p>
    <w:p>
      <w:pPr>
        <w:pStyle w:val="ListParagraph"/>
        <w:numPr>
          <w:ilvl w:val="0"/>
          <w:numId w:val="2"/>
        </w:numPr>
        <w:spacing w:after="80" w:line="270"/>
      </w:pPr>
      <w:r>
        <w:rPr>
          <w:b/>
          <w:bCs/>
          <w:i w:val="false"/>
          <w:iCs w:val="false"/>
          <w:color w:val="056DAE"/>
        </w:rPr>
        <w:t xml:space="preserve">Integration </w:t>
      </w:r>
      <w:r>
        <w:t xml:space="preserve">failures are reproducibility and environment drift — fixed with immutable versioned data, Terraform-defined environments, and same-image train/serve.</w:t>
      </w:r>
    </w:p>
    <w:p>
      <w:pPr>
        <w:pStyle w:val="ListParagraph"/>
        <w:numPr>
          <w:ilvl w:val="0"/>
          <w:numId w:val="2"/>
        </w:numPr>
        <w:spacing w:after="80" w:line="270"/>
      </w:pPr>
      <w:r>
        <w:rPr>
          <w:b/>
          <w:bCs/>
          <w:i w:val="false"/>
          <w:iCs w:val="false"/>
          <w:color w:val="B45309"/>
        </w:rPr>
        <w:t xml:space="preserve">Pipeline / latency </w:t>
      </w:r>
      <w:r>
        <w:t xml:space="preserve">problems are brittle orchestration and risky promotion — fixed with idempotent pipelines, native orchestration, and canary deploys with rollback.</w:t>
      </w:r>
    </w:p>
    <w:p>
      <w:pPr>
        <w:pStyle w:val="ListParagraph"/>
        <w:numPr>
          <w:ilvl w:val="0"/>
          <w:numId w:val="2"/>
        </w:numPr>
        <w:spacing w:after="80" w:line="270"/>
      </w:pPr>
      <w:r>
        <w:rPr>
          <w:b/>
          <w:bCs/>
          <w:i w:val="false"/>
          <w:iCs w:val="false"/>
          <w:color w:val="B91C1C"/>
        </w:rPr>
        <w:t xml:space="preserve">Model risk </w:t>
      </w:r>
      <w:r>
        <w:t xml:space="preserve">is a governance-by-design problem — encode validation gates, lineage, and re-validation into the platform so the compliant path is the path of least resistance.</w:t>
      </w:r>
    </w:p>
    <w:p>
      <w:r>
        <w:br w:type="page"/>
      </w:r>
    </w:p>
    <w:p>
      <w:pPr>
        <w:pStyle w:val="Heading1"/>
      </w:pPr>
      <w:r>
        <w:t xml:space="preserve">9. The Differentiator &amp; Closing Narrative</w:t>
      </w:r>
    </w:p>
    <w:p>
      <w:pPr>
        <w:spacing w:after="160" w:line="276"/>
      </w:pPr>
      <w:r>
        <w:rPr>
          <w:b w:val="false"/>
          <w:bCs w:val="false"/>
          <w:i w:val="false"/>
          <w:iCs w:val="false"/>
        </w:rPr>
        <w:t xml:space="preserve">Citibank is the middle pillar of your three-regulated-environments arc — the place where an actuarial-governance instinct became production model-risk engineering on AWS, and where you learned to encode governance into the system itself. That is precisely the discipline you later carried into FDA/EMA pharma at J&amp;J.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Environment</w:t>
            </w:r>
          </w:p>
        </w:tc>
        <w:tc>
          <w:tcPr>
            <w:tcW w:type="dxa" w:w="348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Regulatory frame</w:t>
            </w:r>
          </w:p>
        </w:tc>
        <w:tc>
          <w:tcPr>
            <w:tcW w:type="dxa" w:w="3480"/>
            <w:tcBorders>
              <w:top w:val="single" w:color="CFE0EE" w:sz="1"/>
              <w:left w:val="single" w:color="CFE0EE" w:sz="1"/>
              <w:bottom w:val="single" w:color="CFE0EE" w:sz="1"/>
              <w:right w:val="single" w:color="CFE0EE" w:sz="1"/>
            </w:tcBorders>
            <w:shd w:fill="002D72" w:val="clear"/>
            <w:tcMar>
              <w:top w:type="dxa" w:w="80"/>
              <w:left w:type="dxa" w:w="120"/>
              <w:bottom w:type="dxa" w:w="80"/>
              <w:right w:type="dxa" w:w="120"/>
            </w:tcMar>
            <w:vAlign w:val="center"/>
          </w:tcPr>
          <w:p>
            <w:pPr>
              <w:spacing w:after="0" w:line="264"/>
            </w:pPr>
            <w:r>
              <w:rPr>
                <w:b/>
                <w:bCs/>
                <w:color w:val="FFFFFF"/>
              </w:rPr>
              <w:t xml:space="preserve">What it taught you</w:t>
            </w:r>
          </w:p>
        </w:tc>
      </w:tr>
      <w:tr>
        <w:tc>
          <w:tcPr>
            <w:tcW w:type="dxa" w:w="24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Aon (Actuarial Analyst)</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Actuarial governance</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Documented assumptions, reproducibility, sign-off discipline</w:t>
            </w:r>
          </w:p>
        </w:tc>
      </w:tr>
      <w:tr>
        <w:tc>
          <w:tcPr>
            <w:tcW w:type="dxa" w:w="240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Citibank (MLOps Engineer)</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SR 11-7 banking model risk</w:t>
            </w:r>
          </w:p>
        </w:tc>
        <w:tc>
          <w:tcPr>
            <w:tcW w:type="dxa" w:w="3480"/>
            <w:tcBorders>
              <w:top w:val="single" w:color="CFE0EE" w:sz="1"/>
              <w:left w:val="single" w:color="CFE0EE" w:sz="1"/>
              <w:bottom w:val="single" w:color="CFE0EE" w:sz="1"/>
              <w:right w:val="single" w:color="CFE0EE" w:sz="1"/>
            </w:tcBorders>
            <w:shd w:fill="F1F7FC" w:val="clear"/>
            <w:tcMar>
              <w:top w:type="dxa" w:w="80"/>
              <w:left w:type="dxa" w:w="120"/>
              <w:bottom w:type="dxa" w:w="80"/>
              <w:right w:type="dxa" w:w="120"/>
            </w:tcMar>
            <w:vAlign w:val="center"/>
          </w:tcPr>
          <w:p>
            <w:pPr>
              <w:spacing w:after="0" w:line="264"/>
            </w:pPr>
            <w:r>
              <w:rPr>
                <w:b w:val="false"/>
                <w:bCs w:val="false"/>
              </w:rPr>
              <w:t xml:space="preserve">Validation gates, model-risk management, governance-by-design on AWS</w:t>
            </w:r>
          </w:p>
        </w:tc>
      </w:tr>
      <w:tr>
        <w:tc>
          <w:tcPr>
            <w:tcW w:type="dxa" w:w="240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Johnson &amp; Johnson (Lead GenAI)</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FDA / EMA / GxP pharma</w:t>
            </w:r>
          </w:p>
        </w:tc>
        <w:tc>
          <w:tcPr>
            <w:tcW w:type="dxa" w:w="3480"/>
            <w:tcBorders>
              <w:top w:val="single" w:color="CFE0EE" w:sz="1"/>
              <w:left w:val="single" w:color="CFE0EE" w:sz="1"/>
              <w:bottom w:val="single" w:color="CFE0EE" w:sz="1"/>
              <w:right w:val="single" w:color="CFE0EE" w:sz="1"/>
            </w:tcBorders>
            <w:shd w:fill="FFFFFF" w:val="clear"/>
            <w:tcMar>
              <w:top w:type="dxa" w:w="80"/>
              <w:left w:type="dxa" w:w="120"/>
              <w:bottom w:type="dxa" w:w="80"/>
              <w:right w:type="dxa" w:w="120"/>
            </w:tcMar>
            <w:vAlign w:val="center"/>
          </w:tcPr>
          <w:p>
            <w:pPr>
              <w:spacing w:after="0" w:line="264"/>
            </w:pPr>
            <w:r>
              <w:rPr>
                <w:b w:val="false"/>
                <w:bCs w:val="false"/>
              </w:rPr>
              <w:t xml:space="preserve">Grounded, auditable, validated generative AI at production scale</w:t>
            </w:r>
          </w:p>
        </w:tc>
      </w:tr>
    </w:tbl>
    <w:p>
      <w:pPr>
        <w:spacing w:after="80"/>
      </w:pPr>
      <w:r>
        <w:t xml:space="preserve"/>
      </w:r>
    </w:p>
    <w:tbl>
      <w:tblPr>
        <w:tblW w:type="dxa" w:w="9360"/>
        <w:tblBorders>
          <w:top w:val="single" w:color="F3F9FD" w:sz="1"/>
          <w:left w:val="single" w:color="55657A" w:sz="24"/>
          <w:bottom w:val="single" w:color="F3F9FD" w:sz="1"/>
          <w:right w:val="single" w:color="F3F9FD" w:sz="1"/>
          <w:insideH w:val="single" w:color="auto" w:sz="4"/>
          <w:insideV w:val="single" w:color="auto" w:sz="4"/>
        </w:tblBorders>
      </w:tblPr>
      <w:tblGrid>
        <w:gridCol w:w="9360"/>
      </w:tblGrid>
      <w:tr>
        <w:tc>
          <w:tcPr>
            <w:tcW w:type="dxa" w:w="9360"/>
            <w:shd w:fill="F3F9FD" w:val="clear"/>
            <w:tcMar>
              <w:top w:type="dxa" w:w="120"/>
              <w:left w:type="dxa" w:w="200"/>
              <w:bottom w:type="dxa" w:w="120"/>
              <w:right w:type="dxa" w:w="200"/>
            </w:tcMar>
          </w:tcPr>
          <w:p>
            <w:pPr>
              <w:spacing w:after="60"/>
            </w:pPr>
            <w:r>
              <w:rPr>
                <w:b/>
                <w:bCs/>
                <w:color w:val="002D72"/>
              </w:rPr>
              <w:t xml:space="preserve">The closing line</w:t>
            </w:r>
          </w:p>
          <w:p>
            <w:r>
              <w:t xml:space="preserve">“The through-line of my career is encoding governance into systems so the compliant path is the easy path. At Citibank that meant SR 11-7 — validation gates, lineage, and drift monitoring built into an AWS platform. Same instinct, different regulator, every role since.”</w:t>
            </w:r>
          </w:p>
        </w:tc>
      </w:tr>
    </w:tbl>
    <w:p>
      <w:pPr>
        <w:pStyle w:val="Heading2"/>
      </w:pPr>
      <w:r>
        <w:t xml:space="preserve">Talking points to keep on the tip of your tongue</w:t>
      </w:r>
    </w:p>
    <w:p>
      <w:pPr>
        <w:pStyle w:val="ListParagraph"/>
        <w:numPr>
          <w:ilvl w:val="0"/>
          <w:numId w:val="2"/>
        </w:numPr>
        <w:spacing w:after="80" w:line="270"/>
      </w:pPr>
      <w:r>
        <w:rPr>
          <w:b/>
          <w:bCs/>
          <w:i w:val="false"/>
          <w:iCs w:val="false"/>
          <w:color w:val="056DAE"/>
        </w:rPr>
        <w:t xml:space="preserve">SR 11-7 </w:t>
      </w:r>
      <w:r>
        <w:t xml:space="preserve">model-risk governance encoded into the platform</w:t>
      </w:r>
    </w:p>
    <w:p>
      <w:pPr>
        <w:pStyle w:val="ListParagraph"/>
        <w:numPr>
          <w:ilvl w:val="0"/>
          <w:numId w:val="2"/>
        </w:numPr>
        <w:spacing w:after="80" w:line="270"/>
      </w:pPr>
      <w:r>
        <w:rPr>
          <w:b/>
          <w:bCs/>
          <w:i w:val="false"/>
          <w:iCs w:val="false"/>
          <w:color w:val="056DAE"/>
        </w:rPr>
        <w:t xml:space="preserve">Challenger-vs-champion </w:t>
      </w:r>
      <w:r>
        <w:t xml:space="preserve">validation gates with quality + bias thresholds</w:t>
      </w:r>
    </w:p>
    <w:p>
      <w:pPr>
        <w:pStyle w:val="ListParagraph"/>
        <w:numPr>
          <w:ilvl w:val="0"/>
          <w:numId w:val="2"/>
        </w:numPr>
        <w:spacing w:after="80" w:line="270"/>
      </w:pPr>
      <w:r>
        <w:rPr>
          <w:b/>
          <w:bCs/>
          <w:i w:val="false"/>
          <w:iCs w:val="false"/>
          <w:color w:val="056DAE"/>
        </w:rPr>
        <w:t xml:space="preserve">Step Functions/Jenkins → SageMaker Pipelines </w:t>
      </w:r>
      <w:r>
        <w:t xml:space="preserve">the honest AWS orchestration migration</w:t>
      </w:r>
    </w:p>
    <w:p>
      <w:pPr>
        <w:pStyle w:val="ListParagraph"/>
        <w:numPr>
          <w:ilvl w:val="0"/>
          <w:numId w:val="2"/>
        </w:numPr>
        <w:spacing w:after="80" w:line="270"/>
      </w:pPr>
      <w:r>
        <w:rPr>
          <w:b/>
          <w:bCs/>
          <w:i w:val="false"/>
          <w:iCs w:val="false"/>
          <w:color w:val="056DAE"/>
        </w:rPr>
        <w:t xml:space="preserve">MLflow lineage + Model Registry </w:t>
      </w:r>
      <w:r>
        <w:t xml:space="preserve">reproducibility and recorded promotion decisions</w:t>
      </w:r>
    </w:p>
    <w:p>
      <w:pPr>
        <w:pStyle w:val="ListParagraph"/>
        <w:numPr>
          <w:ilvl w:val="0"/>
          <w:numId w:val="2"/>
        </w:numPr>
        <w:spacing w:after="80" w:line="270"/>
      </w:pPr>
      <w:r>
        <w:rPr>
          <w:b/>
          <w:bCs/>
          <w:i w:val="false"/>
          <w:iCs w:val="false"/>
          <w:color w:val="056DAE"/>
        </w:rPr>
        <w:t xml:space="preserve">Drift → governed retraining </w:t>
      </w:r>
      <w:r>
        <w:t xml:space="preserve">candidate, not auto-promotion; serving held on the validated model</w:t>
      </w:r>
    </w:p>
    <w:p>
      <w:pPr>
        <w:pStyle w:val="ListParagraph"/>
        <w:numPr>
          <w:ilvl w:val="0"/>
          <w:numId w:val="2"/>
        </w:numPr>
        <w:spacing w:after="80" w:line="270"/>
      </w:pPr>
      <w:r>
        <w:rPr>
          <w:b/>
          <w:bCs/>
          <w:i w:val="false"/>
          <w:iCs w:val="false"/>
          <w:color w:val="056DAE"/>
        </w:rPr>
        <w:t xml:space="preserve">Terraform IaC </w:t>
      </w:r>
      <w:r>
        <w:t xml:space="preserve">identical, governance-compliant dev/UAT/prod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color w:val="5A5A5A"/>
        <w:sz w:val="16"/>
        <w:szCs w:val="16"/>
      </w:rPr>
      <w:t xml:space="preserve">Confidential — personal interview prep</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0EE" w:sz="4" w:space="2"/>
      </w:pBdr>
      <w:tabs>
        <w:tab w:val="right" w:pos="9026"/>
      </w:tabs>
      <w:spacing w:after="0"/>
    </w:pPr>
    <w:r>
      <w:rPr>
        <w:color w:val="5A5A5A"/>
        <w:sz w:val="16"/>
        <w:szCs w:val="16"/>
      </w:rPr>
      <w:t xml:space="preserve">Citibank Model Operations Platform</w:t>
    </w:r>
    <w:r>
      <w:rPr>
        <w:color w:val="5A5A5A"/>
        <w:sz w:val="16"/>
        <w:szCs w:val="16"/>
      </w:rPr>
      <w:t xml:space="preserve">	Interview Narrative &amp; Technical Master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56DAE" w:sz="6" w:space="4"/>
      </w:pBdr>
      <w:spacing w:after="200" w:before="320"/>
      <w:outlineLvl w:val="0"/>
    </w:pPr>
    <w:rPr>
      <w:rFonts w:ascii="Arial" w:cs="Arial" w:eastAsia="Arial" w:hAnsi="Arial"/>
      <w:b/>
      <w:bCs/>
      <w:color w:val="002D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56DAE"/>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65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Citibank Model Operations Platform — Governed MLOps under SR 11-7</dc:title>
  <dc:creator>Oswald</dc:creator>
  <cp:lastModifiedBy>Un-named</cp:lastModifiedBy>
  <cp:revision>1</cp:revision>
  <dcterms:created xsi:type="dcterms:W3CDTF">2026-06-02T15:37:27.403Z</dcterms:created>
  <dcterms:modified xsi:type="dcterms:W3CDTF">2026-06-02T15:37:27.415Z</dcterms:modified>
</cp:coreProperties>
</file>

<file path=docProps/custom.xml><?xml version="1.0" encoding="utf-8"?>
<Properties xmlns="http://schemas.openxmlformats.org/officeDocument/2006/custom-properties" xmlns:vt="http://schemas.openxmlformats.org/officeDocument/2006/docPropsVTypes"/>
</file>