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2E2E"/>
          <w:sz w:val="52"/>
          <w:szCs w:val="52"/>
        </w:rPr>
        <w:t xml:space="preserve">The Home Depot Search Platform</w:t>
      </w:r>
    </w:p>
    <w:p>
      <w:pPr>
        <w:spacing w:after="0" w:before="120"/>
        <w:jc w:val="center"/>
      </w:pPr>
      <w:r>
        <w:rPr>
          <w:color w:val="C2410C"/>
          <w:sz w:val="28"/>
          <w:szCs w:val="28"/>
        </w:rPr>
        <w:t xml:space="preserve">From BM25 Foundation to Hybrid Search to RAG Synthesis</w:t>
      </w:r>
    </w:p>
    <w:p>
      <w:pPr>
        <w:spacing w:after="0" w:before="80"/>
        <w:jc w:val="center"/>
      </w:pPr>
      <w:r>
        <w:rPr>
          <w:i/>
          <w:iCs/>
          <w:color w:val="5A5A5A"/>
          <w:sz w:val="22"/>
          <w:szCs w:val="22"/>
        </w:rPr>
        <w:t xml:space="preserve">A Production Hybrid Search &amp; AI Platform for Associates and Analysts</w:t>
      </w:r>
    </w:p>
    <w:p>
      <w:pPr>
        <w:spacing w:after="400"/>
      </w:pPr>
      <w:r>
        <w:t xml:space="preserve"/>
      </w:r>
    </w:p>
    <w:p>
      <w:pPr>
        <w:pBdr>
          <w:bottom w:val="single" w:color="C2410C" w:sz="6" w:space="1"/>
        </w:pBdr>
        <w:jc w:val="center"/>
      </w:pPr>
      <w:r>
        <w:t xml:space="preserve"/>
      </w:r>
    </w:p>
    <w:p>
      <w:pPr>
        <w:spacing w:after="200"/>
      </w:pPr>
      <w:r>
        <w:t xml:space="preserve"/>
      </w:r>
    </w:p>
    <w:p>
      <w:pPr>
        <w:spacing w:after="60"/>
        <w:jc w:val="center"/>
      </w:pPr>
      <w:r>
        <w:rPr>
          <w:b/>
          <w:bCs/>
          <w:color w:val="2E2E2E"/>
          <w:sz w:val="24"/>
          <w:szCs w:val="24"/>
        </w:rPr>
        <w:t xml:space="preserve">Interview Narrative &amp; Technical Master Reference</w:t>
      </w:r>
    </w:p>
    <w:p>
      <w:pPr>
        <w:spacing w:after="0"/>
        <w:jc w:val="center"/>
      </w:pPr>
      <w:r>
        <w:rPr>
          <w:color w:val="5A5A5A"/>
          <w:sz w:val="22"/>
          <w:szCs w:val="22"/>
        </w:rPr>
        <w:t xml:space="preserve">Oswald  •  ML Engineer / Search AI Specialist  •  Sep 2021 – Apr 2023</w:t>
      </w:r>
    </w:p>
    <w:p>
      <w:r>
        <w:br w:type="page"/>
      </w:r>
    </w:p>
    <w:p>
      <w:pPr>
        <w:spacing w:after="160"/>
      </w:pPr>
      <w:r>
        <w:rPr>
          <w:b/>
          <w:bCs/>
          <w:color w:val="2E2E2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Elevator Pitch</w:t>
      </w:r>
    </w:p>
    <w:p>
      <w:pPr>
        <w:pStyle w:val="Heading2"/>
      </w:pPr>
      <w:r>
        <w:t xml:space="preserve">The 30-second version</w:t>
      </w:r>
    </w:p>
    <w:tbl>
      <w:tblPr>
        <w:tblW w:type="dxa" w:w="9360"/>
        <w:tblBorders>
          <w:top w:val="single" w:color="FBEDE6" w:sz="1"/>
          <w:left w:val="single" w:color="C2410C" w:sz="24"/>
          <w:bottom w:val="single" w:color="FBEDE6" w:sz="1"/>
          <w:right w:val="single" w:color="FBEDE6" w:sz="1"/>
          <w:insideH w:val="single" w:color="auto" w:sz="4"/>
          <w:insideV w:val="single" w:color="auto" w:sz="4"/>
        </w:tblBorders>
      </w:tblPr>
      <w:tblGrid>
        <w:gridCol w:w="9360"/>
      </w:tblGrid>
      <w:tr>
        <w:tc>
          <w:tcPr>
            <w:tcW w:type="dxa" w:w="9360"/>
            <w:shd w:fill="FBEDE6" w:val="clear"/>
            <w:tcMar>
              <w:top w:type="dxa" w:w="120"/>
              <w:left w:type="dxa" w:w="200"/>
              <w:bottom w:type="dxa" w:w="120"/>
              <w:right w:type="dxa" w:w="200"/>
            </w:tcMar>
          </w:tcPr>
          <w:p>
            <w:pPr>
              <w:spacing w:after="60"/>
            </w:pPr>
            <w:r>
              <w:rPr>
                <w:b/>
                <w:bCs/>
                <w:color w:val="2E2E2E"/>
              </w:rPr>
              <w:t xml:space="preserve">Say this first</w:t>
            </w:r>
          </w:p>
          <w:p>
            <w:r>
              <w:t xml:space="preserve">“At Home Depot I was the ML Engineer building the search-AI platform. Associates were juggling multiple systems to answer customer questions, so I built one hybrid search interface over our fragmented operational content — product specs, DIY guides, store-operations playbooks, and live inventory. It fused classic BM25 keyword search with FAISS dense-vector search using Reciprocal Rank Fusion, then a cross-encoder reranker on top, and in the final stretch added GPT-3.5-Turbo RAG synthesis. It lifted retrieval relevance 14%, improved search success 21%, and held p95 latency under 900 milliseconds.”</w:t>
            </w:r>
          </w:p>
        </w:tc>
      </w:tr>
    </w:tbl>
    <w:p>
      <w:pPr>
        <w:spacing w:after="80"/>
      </w:pPr>
      <w:r>
        <w:t xml:space="preserve"/>
      </w:r>
    </w:p>
    <w:p>
      <w:pPr>
        <w:pStyle w:val="Heading2"/>
      </w:pPr>
      <w:r>
        <w:t xml:space="preserve">The 90-second version</w:t>
      </w:r>
    </w:p>
    <w:p>
      <w:pPr>
        <w:spacing w:after="160" w:line="276"/>
      </w:pPr>
      <w:r>
        <w:rPr>
          <w:b w:val="false"/>
          <w:bCs w:val="false"/>
          <w:i w:val="false"/>
          <w:iCs w:val="false"/>
        </w:rPr>
        <w:t xml:space="preserve">Home Depot associates and analysts needed to answer customer and operational questions fast, but the knowledge was scattered across PDFs, Word guides, an HTML knowledge base, SharePoint, and live API feeds. There was no single way to combine an exact lookup — a SKU or model number — with a semantic question like “something waterproof for my deck.” I built the platform that unified all of it behind one retrieval interface, ingesting on the order of 1,200 documents a week.</w:t>
      </w:r>
    </w:p>
    <w:p>
      <w:pPr>
        <w:spacing w:after="160" w:line="276"/>
      </w:pPr>
      <w:r>
        <w:rPr>
          <w:b w:val="false"/>
          <w:bCs w:val="false"/>
          <w:i w:val="false"/>
          <w:iCs w:val="false"/>
        </w:rPr>
        <w:t xml:space="preserve">I delivered it in three phases that tracked what the technology could actually do at the time. Phase 1 was a solid BM25 keyword-search foundation with a real ingestion pipeline and offline evaluation from day one. Phase 2 added a dense-vector layer with FAISS, fused the two retrievers with Reciprocal Rank Fusion, and reranked with a cross-encoder — that’s where the 14% relevance uplift came from. Phase 3, in the final two months, layered GPT-3.5-Turbo RAG synthesis on top once it was released. This is the project where I made the bridge from classic information retrieval to generative AI — the exact foundation I later carried into regulated multi-agent work.</w:t>
      </w:r>
    </w:p>
    <w:p>
      <w:r>
        <w:br w:type="page"/>
      </w:r>
    </w:p>
    <w:p>
      <w:pPr>
        <w:pStyle w:val="Heading1"/>
      </w:pPr>
      <w:r>
        <w:t xml:space="preserve">2. Why I Was Hired</w:t>
      </w:r>
    </w:p>
    <w:p>
      <w:pPr>
        <w:spacing w:after="160" w:line="276"/>
      </w:pPr>
      <w:r>
        <w:rPr>
          <w:b w:val="false"/>
          <w:bCs w:val="false"/>
          <w:i w:val="false"/>
          <w:iCs w:val="false"/>
        </w:rPr>
        <w:t xml:space="preserve">The floor-level problem was simple to state and hard to solve: associates spent too long hunting across disconnected systems to answer a customer, and the answers weren’t consistent. Home Depot needed an engineer who could build a production search system end-to-end and ride the transition from keyword search into semantic search and, eventually, RAG.</w:t>
      </w:r>
    </w:p>
    <w:p>
      <w:pPr>
        <w:pStyle w:val="ListParagraph"/>
        <w:numPr>
          <w:ilvl w:val="0"/>
          <w:numId w:val="2"/>
        </w:numPr>
        <w:spacing w:after="80" w:line="270"/>
      </w:pPr>
      <w:r>
        <w:rPr>
          <w:b/>
          <w:bCs/>
          <w:i w:val="false"/>
          <w:iCs w:val="false"/>
        </w:rPr>
        <w:t xml:space="preserve">Full-pipeline ownership. </w:t>
      </w:r>
      <w:r>
        <w:t xml:space="preserve">Someone who could own everything from document ingestion and parsing to indexing, retrieval, ranking, serving, and observability — not just a model.</w:t>
      </w:r>
    </w:p>
    <w:p>
      <w:pPr>
        <w:pStyle w:val="ListParagraph"/>
        <w:numPr>
          <w:ilvl w:val="0"/>
          <w:numId w:val="2"/>
        </w:numPr>
        <w:spacing w:after="80" w:line="270"/>
      </w:pPr>
      <w:r>
        <w:rPr>
          <w:b/>
          <w:bCs/>
          <w:i w:val="false"/>
          <w:iCs w:val="false"/>
        </w:rPr>
        <w:t xml:space="preserve">Bridge two worlds. </w:t>
      </w:r>
      <w:r>
        <w:t xml:space="preserve">Classic information retrieval (BM25, Elasticsearch, ranking metrics) was mature; semantic vector search was emerging. They needed someone fluent in both who could fuse them rather than bet on one.</w:t>
      </w:r>
    </w:p>
    <w:p>
      <w:pPr>
        <w:pStyle w:val="ListParagraph"/>
        <w:numPr>
          <w:ilvl w:val="0"/>
          <w:numId w:val="2"/>
        </w:numPr>
        <w:spacing w:after="80" w:line="270"/>
      </w:pPr>
      <w:r>
        <w:rPr>
          <w:b/>
          <w:bCs/>
          <w:i w:val="false"/>
          <w:iCs w:val="false"/>
        </w:rPr>
        <w:t xml:space="preserve">Evaluation discipline. </w:t>
      </w:r>
      <w:r>
        <w:t xml:space="preserve">Search is only as good as your ability to measure relevance. I build offline evaluation (NDCG, MRR, MAP) before I ship, so every change is justified by a number.</w:t>
      </w:r>
    </w:p>
    <w:p>
      <w:pPr>
        <w:pStyle w:val="ListParagraph"/>
        <w:numPr>
          <w:ilvl w:val="0"/>
          <w:numId w:val="2"/>
        </w:numPr>
        <w:spacing w:after="80" w:line="270"/>
      </w:pPr>
      <w:r>
        <w:rPr>
          <w:b/>
          <w:bCs/>
          <w:i w:val="false"/>
          <w:iCs w:val="false"/>
        </w:rPr>
        <w:t xml:space="preserve">Production engineering. </w:t>
      </w:r>
      <w:r>
        <w:t xml:space="preserve">Containerized services, scheduled re-embedding, rolling deployments with rollback, latency SLOs — retail scale with associates waiting on the floor means latency and reliability are first-class.</w:t>
      </w:r>
    </w:p>
    <w:tbl>
      <w:tblPr>
        <w:tblW w:type="dxa" w:w="9360"/>
        <w:tblBorders>
          <w:top w:val="single" w:color="FDF6F2" w:sz="1"/>
          <w:left w:val="single" w:color="4A5B6B" w:sz="24"/>
          <w:bottom w:val="single" w:color="FDF6F2" w:sz="1"/>
          <w:right w:val="single" w:color="FDF6F2" w:sz="1"/>
          <w:insideH w:val="single" w:color="auto" w:sz="4"/>
          <w:insideV w:val="single" w:color="auto" w:sz="4"/>
        </w:tblBorders>
      </w:tblPr>
      <w:tblGrid>
        <w:gridCol w:w="9360"/>
      </w:tblGrid>
      <w:tr>
        <w:tc>
          <w:tcPr>
            <w:tcW w:type="dxa" w:w="9360"/>
            <w:shd w:fill="FDF6F2" w:val="clear"/>
            <w:tcMar>
              <w:top w:type="dxa" w:w="120"/>
              <w:left w:type="dxa" w:w="200"/>
              <w:bottom w:type="dxa" w:w="120"/>
              <w:right w:type="dxa" w:w="200"/>
            </w:tcMar>
          </w:tcPr>
          <w:p>
            <w:pPr>
              <w:spacing w:after="60"/>
            </w:pPr>
            <w:r>
              <w:rPr>
                <w:b/>
                <w:bCs/>
                <w:color w:val="2E2E2E"/>
              </w:rPr>
              <w:t xml:space="preserve">How to frame it in the room</w:t>
            </w:r>
          </w:p>
          <w:p>
            <w:r>
              <w:t xml:space="preserve">“They hired me to turn a pile of disconnected document stores into one search experience an associate could trust mid-conversation with a customer. The skill they were buying was the ability to fuse classic keyword retrieval with new semantic search and prove the result was better — with metrics, not vibes.”</w:t>
            </w:r>
          </w:p>
        </w:tc>
      </w:tr>
    </w:tbl>
    <w:p>
      <w:r>
        <w:br w:type="page"/>
      </w:r>
    </w:p>
    <w:p>
      <w:pPr>
        <w:pStyle w:val="Heading1"/>
      </w:pPr>
      <w:r>
        <w:t xml:space="preserve">3. Problem Statement</w:t>
      </w:r>
    </w:p>
    <w:p>
      <w:pPr>
        <w:spacing w:after="160" w:line="276"/>
      </w:pPr>
      <w:r>
        <w:rPr>
          <w:b w:val="false"/>
          <w:bCs w:val="false"/>
          <w:i w:val="false"/>
          <w:iCs w:val="false"/>
        </w:rPr>
        <w:t xml:space="preserve">Operational knowledge lived in silos. Product specifications sat in PDFs, DIY project guides in Word documents, store-operations content in an HTML knowledge base and SharePoint, and inventory in live API feeds. The concrete problems:</w:t>
      </w:r>
    </w:p>
    <w:p>
      <w:pPr>
        <w:pStyle w:val="ListParagraph"/>
        <w:numPr>
          <w:ilvl w:val="0"/>
          <w:numId w:val="2"/>
        </w:numPr>
        <w:spacing w:after="80" w:line="270"/>
      </w:pPr>
      <w:r>
        <w:rPr>
          <w:b/>
          <w:bCs/>
          <w:i w:val="false"/>
          <w:iCs w:val="false"/>
        </w:rPr>
        <w:t xml:space="preserve">Manual multi-system search. </w:t>
      </w:r>
      <w:r>
        <w:t xml:space="preserve">Answering one customer question meant an associate searching several systems by hand — slow and inconsistent on the floor.</w:t>
      </w:r>
    </w:p>
    <w:p>
      <w:pPr>
        <w:pStyle w:val="ListParagraph"/>
        <w:numPr>
          <w:ilvl w:val="0"/>
          <w:numId w:val="2"/>
        </w:numPr>
        <w:spacing w:after="80" w:line="270"/>
      </w:pPr>
      <w:r>
        <w:rPr>
          <w:b/>
          <w:bCs/>
          <w:i w:val="false"/>
          <w:iCs w:val="false"/>
        </w:rPr>
        <w:t xml:space="preserve">No keyword + semantic fusion. </w:t>
      </w:r>
      <w:r>
        <w:t xml:space="preserve">Nothing combined exact lookups (SKU, model number) with semantic queries (“something waterproof for my deck”) in a single search.</w:t>
      </w:r>
    </w:p>
    <w:p>
      <w:pPr>
        <w:pStyle w:val="ListParagraph"/>
        <w:numPr>
          <w:ilvl w:val="0"/>
          <w:numId w:val="2"/>
        </w:numPr>
        <w:spacing w:after="80" w:line="270"/>
      </w:pPr>
      <w:r>
        <w:rPr>
          <w:b/>
          <w:bCs/>
          <w:i w:val="false"/>
          <w:iCs w:val="false"/>
        </w:rPr>
        <w:t xml:space="preserve">Inconsistent recommendations. </w:t>
      </w:r>
      <w:r>
        <w:t xml:space="preserve">Different associates surfaced different sources and gave different answers.</w:t>
      </w:r>
    </w:p>
    <w:p>
      <w:pPr>
        <w:pStyle w:val="ListParagraph"/>
        <w:numPr>
          <w:ilvl w:val="0"/>
          <w:numId w:val="2"/>
        </w:numPr>
        <w:spacing w:after="80" w:line="270"/>
      </w:pPr>
      <w:r>
        <w:rPr>
          <w:b/>
          <w:bCs/>
          <w:i w:val="false"/>
          <w:iCs w:val="false"/>
        </w:rPr>
        <w:t xml:space="preserve">Tribal knowledge dependency. </w:t>
      </w:r>
      <w:r>
        <w:t xml:space="preserve">Teams leaned on memory and word-of-mouth instead of verified documentation.</w:t>
      </w:r>
    </w:p>
    <w:p>
      <w:pPr>
        <w:pStyle w:val="Heading2"/>
      </w:pPr>
      <w:r>
        <w:t xml:space="preserve">The problem stated as one sentence</w:t>
      </w:r>
    </w:p>
    <w:tbl>
      <w:tblPr>
        <w:tblW w:type="dxa" w:w="9360"/>
        <w:tblBorders>
          <w:top w:val="single" w:color="FBEDE6" w:sz="1"/>
          <w:left w:val="single" w:color="C2410C" w:sz="24"/>
          <w:bottom w:val="single" w:color="FBEDE6" w:sz="1"/>
          <w:right w:val="single" w:color="FBEDE6" w:sz="1"/>
          <w:insideH w:val="single" w:color="auto" w:sz="4"/>
          <w:insideV w:val="single" w:color="auto" w:sz="4"/>
        </w:tblBorders>
      </w:tblPr>
      <w:tblGrid>
        <w:gridCol w:w="9360"/>
      </w:tblGrid>
      <w:tr>
        <w:tc>
          <w:tcPr>
            <w:tcW w:type="dxa" w:w="9360"/>
            <w:shd w:fill="FBEDE6" w:val="clear"/>
            <w:tcMar>
              <w:top w:type="dxa" w:w="120"/>
              <w:left w:type="dxa" w:w="200"/>
              <w:bottom w:type="dxa" w:w="120"/>
              <w:right w:type="dxa" w:w="200"/>
            </w:tcMar>
          </w:tcPr>
          <w:p>
            <w:pPr>
              <w:spacing w:after="60"/>
            </w:pPr>
            <w:r>
              <w:rPr>
                <w:b/>
                <w:bCs/>
                <w:color w:val="2E2E2E"/>
              </w:rPr>
              <w:t xml:space="preserve">Problem statement</w:t>
            </w:r>
          </w:p>
          <w:p>
            <w:r>
              <w:t xml:space="preserve">Give associates and analysts one fast search interface across fragmented product, DIY, operations, and inventory content — one that handles both exact lookups and natural-language questions, returns verifiable sources, and stays fast enough to use mid-conversation with a customer.</w:t>
            </w:r>
          </w:p>
        </w:tc>
      </w:tr>
    </w:tbl>
    <w:p>
      <w:pPr>
        <w:pStyle w:val="Heading2"/>
      </w:pPr>
      <w:r>
        <w:t xml:space="preserve">Success criteria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Dimension</w:t>
            </w:r>
          </w:p>
        </w:tc>
        <w:tc>
          <w:tcPr>
            <w:tcW w:type="dxa" w:w="3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What we targeted</w:t>
            </w:r>
          </w:p>
        </w:tc>
        <w:tc>
          <w:tcPr>
            <w:tcW w:type="dxa" w:w="3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What we achieved</w:t>
            </w:r>
          </w:p>
        </w:tc>
      </w:tr>
      <w:tr>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Retrieval relevance</w:t>
            </w:r>
          </w:p>
        </w:tc>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Better top-ranked results</w:t>
            </w:r>
          </w:p>
        </w:tc>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14% relevance uplift</w:t>
            </w:r>
          </w:p>
        </w:tc>
      </w:tr>
      <w:tr>
        <w:tc>
          <w:tcPr>
            <w:tcW w:type="dxa" w:w="31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Search success</w:t>
            </w:r>
          </w:p>
        </w:tc>
        <w:tc>
          <w:tcPr>
            <w:tcW w:type="dxa" w:w="31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Users find the answer</w:t>
            </w:r>
          </w:p>
        </w:tc>
        <w:tc>
          <w:tcPr>
            <w:tcW w:type="dxa" w:w="31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21% improvement</w:t>
            </w:r>
          </w:p>
        </w:tc>
      </w:tr>
      <w:tr>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Latency</w:t>
            </w:r>
          </w:p>
        </w:tc>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Usable on the floor</w:t>
            </w:r>
          </w:p>
        </w:tc>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p95 &lt; 900 ms (hybrid retrieval)</w:t>
            </w:r>
          </w:p>
        </w:tc>
      </w:tr>
      <w:tr>
        <w:tc>
          <w:tcPr>
            <w:tcW w:type="dxa" w:w="31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Coverage</w:t>
            </w:r>
          </w:p>
        </w:tc>
        <w:tc>
          <w:tcPr>
            <w:tcW w:type="dxa" w:w="31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Unify all content types</w:t>
            </w:r>
          </w:p>
        </w:tc>
        <w:tc>
          <w:tcPr>
            <w:tcW w:type="dxa" w:w="31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~1,200 docs/week across 5 source types</w:t>
            </w:r>
          </w:p>
        </w:tc>
      </w:tr>
      <w:tr>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Query types</w:t>
            </w:r>
          </w:p>
        </w:tc>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Exact + semantic in one search</w:t>
            </w:r>
          </w:p>
        </w:tc>
        <w:tc>
          <w:tcPr>
            <w:tcW w:type="dxa" w:w="31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Hybrid BM25 + vector fusion</w:t>
            </w:r>
          </w:p>
        </w:tc>
      </w:tr>
    </w:tbl>
    <w:p>
      <w:r>
        <w:br w:type="page"/>
      </w:r>
    </w:p>
    <w:p>
      <w:pPr>
        <w:pStyle w:val="Heading1"/>
      </w:pPr>
      <w:r>
        <w:t xml:space="preserve">4. The Solution — Foundation → Hybrid → RAG</w:t>
      </w:r>
    </w:p>
    <w:p>
      <w:pPr>
        <w:spacing w:after="160" w:line="276"/>
      </w:pPr>
      <w:r>
        <w:rPr>
          <w:b w:val="false"/>
          <w:bCs w:val="false"/>
          <w:i w:val="false"/>
          <w:iCs w:val="false"/>
        </w:rPr>
        <w:t xml:space="preserve">The platform shipped in three phases, each tracking what the technology could actually do at the time. Framing it this way is honest about the timeline and shows you build foundations before you reach for the newest thing.</w:t>
      </w:r>
    </w:p>
    <w:p>
      <w:pPr>
        <w:pStyle w:val="Heading2"/>
      </w:pPr>
      <w:r>
        <w:t xml:space="preserve">Phase overview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
            </w:r>
          </w:p>
        </w:tc>
        <w:tc>
          <w:tcPr>
            <w:tcW w:type="dxa" w:w="26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Phase 1 — Foundation</w:t>
            </w:r>
          </w:p>
        </w:tc>
        <w:tc>
          <w:tcPr>
            <w:tcW w:type="dxa" w:w="26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Phase 2 — Hybrid Search</w:t>
            </w:r>
          </w:p>
        </w:tc>
        <w:tc>
          <w:tcPr>
            <w:tcW w:type="dxa" w:w="26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Phase 3 — RAG Synthesis</w:t>
            </w:r>
          </w:p>
        </w:tc>
      </w:tr>
      <w:tr>
        <w:tc>
          <w:tcPr>
            <w:tcW w:type="dxa" w:w="15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Window</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Sep 2021 – Mid 2022</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Late 2022 – Early 2023</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Mar – Apr 2023</w:t>
            </w:r>
          </w:p>
        </w:tc>
      </w:tr>
      <w:tr>
        <w:tc>
          <w:tcPr>
            <w:tcW w:type="dxa" w:w="15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Goal</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Solid keyword search + ingestion</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Add semantic search + fusion</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Add grounded answer generation</w:t>
            </w:r>
          </w:p>
        </w:tc>
      </w:tr>
      <w:tr>
        <w:tc>
          <w:tcPr>
            <w:tcW w:type="dxa" w:w="15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Retrieval</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BM25 via Elasticsearch</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BM25 + FAISS dense vectors</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Hybrid retrieval feeding RAG</w:t>
            </w:r>
          </w:p>
        </w:tc>
      </w:tr>
      <w:tr>
        <w:tc>
          <w:tcPr>
            <w:tcW w:type="dxa" w:w="15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Embeddings</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(sparse, none)</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Sentence-BERT → ada-002 (Dec 2022)</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ada-002</w:t>
            </w:r>
          </w:p>
        </w:tc>
      </w:tr>
      <w:tr>
        <w:tc>
          <w:tcPr>
            <w:tcW w:type="dxa" w:w="15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Fusion / rank</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BM25 scoring</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Reciprocal Rank Fusion (k=60) + cross-encoder rerank</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Reranked context into the LLM</w:t>
            </w:r>
          </w:p>
        </w:tc>
      </w:tr>
      <w:tr>
        <w:tc>
          <w:tcPr>
            <w:tcW w:type="dxa" w:w="15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Synthesis</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Ranked results</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Ranked results</w:t>
            </w:r>
          </w:p>
        </w:tc>
        <w:tc>
          <w:tcPr>
            <w:tcW w:type="dxa" w:w="262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GPT-3.5-Turbo (Mar 2023) via Azure OpenAI</w:t>
            </w:r>
          </w:p>
        </w:tc>
      </w:tr>
      <w:tr>
        <w:tc>
          <w:tcPr>
            <w:tcW w:type="dxa" w:w="15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Eval</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NDCG / MRR / MAP from day one</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Same + relevance A/B</w:t>
            </w:r>
          </w:p>
        </w:tc>
        <w:tc>
          <w:tcPr>
            <w:tcW w:type="dxa" w:w="262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Same + answer quality</w:t>
            </w:r>
          </w:p>
        </w:tc>
      </w:tr>
    </w:tbl>
    <w:p>
      <w:pPr>
        <w:pStyle w:val="Heading2"/>
      </w:pPr>
      <w:r>
        <w:t xml:space="preserve">Phase 1 — Foundation (Sep 2021 – Mid 2022)</w:t>
      </w:r>
    </w:p>
    <w:p>
      <w:pPr>
        <w:spacing w:after="160" w:line="276"/>
      </w:pPr>
      <w:r>
        <w:rPr>
          <w:b/>
          <w:bCs/>
          <w:i w:val="false"/>
          <w:iCs w:val="false"/>
        </w:rPr>
        <w:t xml:space="preserve">Objective. </w:t>
      </w:r>
      <w:r>
        <w:t xml:space="preserve">Build the ingestion backbone and a strong keyword-search baseline before adding anything fancier.</w:t>
      </w:r>
    </w:p>
    <w:p>
      <w:pPr>
        <w:spacing w:after="160" w:line="276"/>
      </w:pPr>
      <w:r>
        <w:rPr>
          <w:b/>
          <w:bCs/>
          <w:i w:val="false"/>
          <w:iCs w:val="false"/>
        </w:rPr>
        <w:t xml:space="preserve">What we built. </w:t>
      </w:r>
      <w:r>
        <w:t xml:space="preserve">A document-ingestion pipeline with file-type routing, spaCy NLP sentence splitting, and recursive chunking with configurable overlap (300–800 token windows). BM25 keyword search via Elasticsearch, validated against product spec sheets, DIY guides, and store-operations documents. Offline evaluation pipelines (NDCG, MRR, MAP) were established from day one.</w:t>
      </w:r>
    </w:p>
    <w:p>
      <w:pPr>
        <w:pStyle w:val="ListParagraph"/>
        <w:numPr>
          <w:ilvl w:val="0"/>
          <w:numId w:val="2"/>
        </w:numPr>
        <w:spacing w:after="80" w:line="270"/>
      </w:pPr>
      <w:r>
        <w:rPr>
          <w:b/>
          <w:bCs/>
          <w:i w:val="false"/>
          <w:iCs w:val="false"/>
          <w:color w:val="C2410C"/>
        </w:rPr>
        <w:t xml:space="preserve">Solved: </w:t>
      </w:r>
      <w:r>
        <w:t xml:space="preserve">a reliable, measurable baseline; clean ingestion and a metadata model to build on.</w:t>
      </w:r>
    </w:p>
    <w:p>
      <w:pPr>
        <w:pStyle w:val="ListParagraph"/>
        <w:numPr>
          <w:ilvl w:val="0"/>
          <w:numId w:val="2"/>
        </w:numPr>
        <w:spacing w:after="80" w:line="270"/>
      </w:pPr>
      <w:r>
        <w:rPr>
          <w:b/>
          <w:bCs/>
          <w:i w:val="false"/>
          <w:iCs w:val="false"/>
          <w:color w:val="B45309"/>
        </w:rPr>
        <w:t xml:space="preserve">Exposed: </w:t>
      </w:r>
      <w:r>
        <w:t xml:space="preserve">pure keyword search couldn’t handle paraphrase or intent — “waterproof deck sealant” missed documents that said “weather-resistant outdoor coating.”</w:t>
      </w:r>
    </w:p>
    <w:p>
      <w:pPr>
        <w:pStyle w:val="Heading2"/>
      </w:pPr>
      <w:r>
        <w:t xml:space="preserve">Phase 2 — Hybrid Search (Late 2022 – Early 2023)</w:t>
      </w:r>
    </w:p>
    <w:p>
      <w:pPr>
        <w:spacing w:after="160" w:line="276"/>
      </w:pPr>
      <w:r>
        <w:rPr>
          <w:b/>
          <w:bCs/>
          <w:i w:val="false"/>
          <w:iCs w:val="false"/>
        </w:rPr>
        <w:t xml:space="preserve">Objective. </w:t>
      </w:r>
      <w:r>
        <w:t xml:space="preserve">Add semantic understanding without losing exact-match precision.</w:t>
      </w:r>
    </w:p>
    <w:p>
      <w:pPr>
        <w:spacing w:after="160" w:line="276"/>
      </w:pPr>
      <w:r>
        <w:rPr>
          <w:b/>
          <w:bCs/>
          <w:i w:val="false"/>
          <w:iCs w:val="false"/>
        </w:rPr>
        <w:t xml:space="preserve">What we built. </w:t>
      </w:r>
      <w:r>
        <w:t xml:space="preserve">A dense-vector layer with FAISS. The dense layer launched on open-source Sentence-BERT embeddings and upgraded to OpenAI text-embedding-ada-002 once it became available in December 2022. Reciprocal Rank Fusion (k=60) merged BM25 and dense results, and a cross-encoder reranker (ms-marco-MiniLM-L-6-v2) sharpened the top of the list. This phase drove the 14% retrieval relevance uplift.</w:t>
      </w:r>
    </w:p>
    <w:p>
      <w:pPr>
        <w:pStyle w:val="ListParagraph"/>
        <w:numPr>
          <w:ilvl w:val="0"/>
          <w:numId w:val="2"/>
        </w:numPr>
        <w:spacing w:after="80" w:line="270"/>
      </w:pPr>
      <w:r>
        <w:rPr>
          <w:b/>
          <w:bCs/>
          <w:i w:val="false"/>
          <w:iCs w:val="false"/>
          <w:color w:val="C2410C"/>
        </w:rPr>
        <w:t xml:space="preserve">Solved: </w:t>
      </w:r>
      <w:r>
        <w:t xml:space="preserve">one search that handled both SKU lookups and natural-language intent; measurable relevance and search-success gains.</w:t>
      </w:r>
    </w:p>
    <w:p>
      <w:pPr>
        <w:pStyle w:val="ListParagraph"/>
        <w:numPr>
          <w:ilvl w:val="0"/>
          <w:numId w:val="2"/>
        </w:numPr>
        <w:spacing w:after="80" w:line="270"/>
      </w:pPr>
      <w:r>
        <w:rPr>
          <w:b/>
          <w:bCs/>
          <w:i w:val="false"/>
          <w:iCs w:val="false"/>
          <w:color w:val="B45309"/>
        </w:rPr>
        <w:t xml:space="preserve">Exposed: </w:t>
      </w:r>
      <w:r>
        <w:t xml:space="preserve">ranked links still made associates read and synthesize — the natural next step was generating a grounded answer.</w:t>
      </w:r>
    </w:p>
    <w:p>
      <w:pPr>
        <w:pStyle w:val="Heading2"/>
      </w:pPr>
      <w:r>
        <w:t xml:space="preserve">Phase 3 — RAG Synthesis (Mar – Apr 2023)</w:t>
      </w:r>
    </w:p>
    <w:p>
      <w:pPr>
        <w:spacing w:after="160" w:line="276"/>
      </w:pPr>
      <w:r>
        <w:rPr>
          <w:b/>
          <w:bCs/>
          <w:i w:val="false"/>
          <w:iCs w:val="false"/>
        </w:rPr>
        <w:t xml:space="preserve">Objective. </w:t>
      </w:r>
      <w:r>
        <w:t xml:space="preserve">Turn the best retrieved context into a direct, grounded answer.</w:t>
      </w:r>
    </w:p>
    <w:p>
      <w:pPr>
        <w:spacing w:after="160" w:line="276"/>
      </w:pPr>
      <w:r>
        <w:rPr>
          <w:b/>
          <w:bCs/>
          <w:i w:val="false"/>
          <w:iCs w:val="false"/>
        </w:rPr>
        <w:t xml:space="preserve">What we built. </w:t>
      </w:r>
      <w:r>
        <w:t xml:space="preserve">Context-aware RAG response generation using GPT-3.5-Turbo (released March 1, 2023) via Azure OpenAI, grounded on the reranked hybrid-retrieval results so answers cited real source documents. Because this rode in only in the final two months, it was a focused, well-scoped addition on top of an already-validated retrieval stack.</w:t>
      </w:r>
    </w:p>
    <w:p>
      <w:pPr>
        <w:pStyle w:val="ListParagraph"/>
        <w:numPr>
          <w:ilvl w:val="0"/>
          <w:numId w:val="2"/>
        </w:numPr>
        <w:spacing w:after="80" w:line="270"/>
      </w:pPr>
      <w:r>
        <w:rPr>
          <w:b/>
          <w:bCs/>
          <w:i w:val="false"/>
          <w:iCs w:val="false"/>
          <w:color w:val="C2410C"/>
        </w:rPr>
        <w:t xml:space="preserve">Solved: </w:t>
      </w:r>
      <w:r>
        <w:t xml:space="preserve">associates got synthesized answers with sources instead of a list of links to read.</w:t>
      </w:r>
    </w:p>
    <w:p>
      <w:pPr>
        <w:pStyle w:val="ListParagraph"/>
        <w:numPr>
          <w:ilvl w:val="0"/>
          <w:numId w:val="2"/>
        </w:numPr>
        <w:spacing w:after="80" w:line="270"/>
      </w:pPr>
      <w:r>
        <w:rPr>
          <w:b/>
          <w:bCs/>
          <w:i w:val="false"/>
          <w:iCs w:val="false"/>
          <w:color w:val="B45309"/>
        </w:rPr>
        <w:t xml:space="preserve">The honest framing: </w:t>
      </w:r>
      <w:r>
        <w:t xml:space="preserve">GPT-3.5-Turbo and ada-002 were late-tenure additions, not foundations — owning that timeline is more credible than back-dating them (see the verification table in §7).</w:t>
      </w:r>
    </w:p>
    <w:p>
      <w:r>
        <w:br w:type="page"/>
      </w:r>
    </w:p>
    <w:p>
      <w:pPr>
        <w:pStyle w:val="Heading1"/>
      </w:pPr>
      <w:r>
        <w:t xml:space="preserve">5. Building the Hybrid Search Engine</w:t>
      </w:r>
    </w:p>
    <w:p>
      <w:pPr>
        <w:spacing w:after="160" w:line="276"/>
      </w:pPr>
      <w:r>
        <w:rPr>
          <w:b w:val="false"/>
          <w:bCs w:val="false"/>
          <w:i w:val="false"/>
          <w:iCs w:val="false"/>
        </w:rPr>
        <w:t xml:space="preserve">This is the technical core and the part to defend box by box. The design question: how do you serve exact lookups and fuzzy intent from one interface, fast, over messy mixed-format content?</w:t>
      </w:r>
    </w:p>
    <w:p>
      <w:pPr>
        <w:pStyle w:val="Heading2"/>
      </w:pPr>
      <w:r>
        <w:t xml:space="preserve">Strategy 1 — File-type routing &amp; a clean ingestion pipeline</w:t>
      </w:r>
    </w:p>
    <w:p>
      <w:pPr>
        <w:spacing w:after="160" w:line="276"/>
      </w:pPr>
      <w:r>
        <w:rPr>
          <w:b w:val="false"/>
          <w:bCs w:val="false"/>
          <w:i w:val="false"/>
          <w:iCs w:val="false"/>
        </w:rPr>
        <w:t xml:space="preserve">Ingestion starts with MIME-type detection that routes each document to the right extraction handler, then normalizes everything into a common internal format before chunking. Chunking used spaCy sentence splitting and recursive 300–800-token windows with overlap so context wasn’t severed mid-thought.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Source type</w:t>
            </w:r>
          </w:p>
        </w:tc>
        <w:tc>
          <w:tcPr>
            <w:tcW w:type="dxa" w:w="24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Handler</w:t>
            </w:r>
          </w:p>
        </w:tc>
        <w:tc>
          <w:tcPr>
            <w:tcW w:type="dxa" w:w="47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Example content / query</w:t>
            </w:r>
          </w:p>
        </w:tc>
      </w:tr>
      <w:tr>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PDF product specs</w:t>
            </w:r>
          </w:p>
        </w:tc>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PyMuPDF</w:t>
            </w:r>
          </w:p>
        </w:tc>
        <w:tc>
          <w:tcPr>
            <w:tcW w:type="dxa" w:w="47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“What’s the amperage on this drill?”</w:t>
            </w:r>
          </w:p>
        </w:tc>
      </w:tr>
      <w:tr>
        <w:tc>
          <w:tcPr>
            <w:tcW w:type="dxa" w:w="22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DOCX DIY guides</w:t>
            </w:r>
          </w:p>
        </w:tc>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python-docx</w:t>
            </w:r>
          </w:p>
        </w:tc>
        <w:tc>
          <w:tcPr>
            <w:tcW w:type="dxa" w:w="47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“How do I seal a wood deck?”</w:t>
            </w:r>
          </w:p>
        </w:tc>
      </w:tr>
      <w:tr>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HTML knowledge base</w:t>
            </w:r>
          </w:p>
        </w:tc>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BeautifulSoup 4</w:t>
            </w:r>
          </w:p>
        </w:tc>
        <w:tc>
          <w:tcPr>
            <w:tcW w:type="dxa" w:w="47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Store-operations how-tos</w:t>
            </w:r>
          </w:p>
        </w:tc>
      </w:tr>
      <w:tr>
        <w:tc>
          <w:tcPr>
            <w:tcW w:type="dxa" w:w="22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SharePoint operations</w:t>
            </w:r>
          </w:p>
        </w:tc>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MS Graph API</w:t>
            </w:r>
          </w:p>
        </w:tc>
        <w:tc>
          <w:tcPr>
            <w:tcW w:type="dxa" w:w="47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Playbooks, internal procedures</w:t>
            </w:r>
          </w:p>
        </w:tc>
      </w:tr>
      <w:tr>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Live API feeds</w:t>
            </w:r>
          </w:p>
        </w:tc>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REST ingestion</w:t>
            </w:r>
          </w:p>
        </w:tc>
        <w:tc>
          <w:tcPr>
            <w:tcW w:type="dxa" w:w="47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Real-time inventory / availability</w:t>
            </w:r>
          </w:p>
        </w:tc>
      </w:tr>
    </w:tbl>
    <w:p>
      <w:pPr>
        <w:pStyle w:val="Heading2"/>
      </w:pPr>
      <w:r>
        <w:t xml:space="preserve">Strategy 2 — Metadata-first design</w:t>
      </w:r>
    </w:p>
    <w:p>
      <w:pPr>
        <w:spacing w:after="160" w:line="276"/>
      </w:pPr>
      <w:r>
        <w:rPr>
          <w:b w:val="false"/>
          <w:bCs w:val="false"/>
          <w:i w:val="false"/>
          <w:iCs w:val="false"/>
        </w:rPr>
        <w:t xml:space="preserve">Every document carried structured metadata in PostgreSQL — doc ID, source, department, version, access level, ingestion timestamp, and embedding version. That last field is the quiet hero: tracking embedding_version is what made versioned, scheduled re-embedding safe when the embedding model changed (e.g., the move to ada-002), so the index could be rebuilt without ambiguity about what was embedded with what.</w:t>
      </w:r>
    </w:p>
    <w:p>
      <w:pPr>
        <w:pStyle w:val="Heading2"/>
      </w:pPr>
      <w:r>
        <w:t xml:space="preserve">Strategy 3 — Dual indexing: sparse + dense</w:t>
      </w:r>
    </w:p>
    <w:p>
      <w:pPr>
        <w:spacing w:after="160" w:line="276"/>
      </w:pPr>
      <w:r>
        <w:rPr>
          <w:b w:val="false"/>
          <w:bCs w:val="false"/>
          <w:i w:val="false"/>
          <w:iCs w:val="false"/>
        </w:rPr>
        <w:t xml:space="preserve">Two indexes, deliberately. A sparse BM25 index in Elasticsearch for exact-term matching (SKUs, model numbers, part codes) and a dense FAISS index using cosine similarity for semantic intent. Keyword-only misses paraphrase; vector-only fumbles exact identifiers. Running both and fusing them is what makes the single search box work for both query styles.</w:t>
      </w:r>
    </w:p>
    <w:p>
      <w:pPr>
        <w:pStyle w:val="Heading2"/>
      </w:pPr>
      <w:r>
        <w:t xml:space="preserve">Strategy 4 — Reciprocal Rank Fusion (k=60)</w:t>
      </w:r>
    </w:p>
    <w:p>
      <w:pPr>
        <w:spacing w:after="160" w:line="276"/>
      </w:pPr>
      <w:r>
        <w:rPr>
          <w:b w:val="false"/>
          <w:bCs w:val="false"/>
          <w:i w:val="false"/>
          <w:iCs w:val="false"/>
        </w:rPr>
        <w:t xml:space="preserve">Rather than trying to normalize two incompatible score scales (BM25 relevance scores vs cosine similarities), RRF fuses by rank position: each result’s contribution is 1/(k + rank), summed across both retrievers. It’s robust, parameter-light, and doesn’t require calibrating score distributions — the right tool when you’re merging fundamentally different scoring systems.</w:t>
      </w:r>
    </w:p>
    <w:p>
      <w:pPr>
        <w:pStyle w:val="Heading2"/>
      </w:pPr>
      <w:r>
        <w:t xml:space="preserve">Strategy 5 — Cross-encoder reranking</w:t>
      </w:r>
    </w:p>
    <w:p>
      <w:pPr>
        <w:spacing w:after="160" w:line="276"/>
      </w:pPr>
      <w:r>
        <w:rPr>
          <w:b w:val="false"/>
          <w:bCs w:val="false"/>
          <w:i w:val="false"/>
          <w:iCs w:val="false"/>
        </w:rPr>
        <w:t xml:space="preserve">The fused candidate list was reranked with a cross-encoder (ms-marco-MiniLM-L-6-v2), which scores the query and each candidate jointly rather than comparing pre-computed vectors. It’s heavier, so it only runs on the top candidates — a precision pass at the top of the list where it matters most, while keeping latency under the 900 ms p95 budget.</w:t>
      </w:r>
    </w:p>
    <w:p>
      <w:pPr>
        <w:pStyle w:val="Heading2"/>
      </w:pPr>
      <w:r>
        <w:t xml:space="preserve">Strategy 6 — Embedding versioning &amp; scheduled refresh</w:t>
      </w:r>
    </w:p>
    <w:p>
      <w:pPr>
        <w:spacing w:after="160" w:line="276"/>
      </w:pPr>
      <w:r>
        <w:rPr>
          <w:b w:val="false"/>
          <w:bCs w:val="false"/>
          <w:i w:val="false"/>
          <w:iCs w:val="false"/>
        </w:rPr>
        <w:t xml:space="preserve">Embeddings were generated by versioned, scheduled batch jobs with automated re-embedding pipelines. Because embedding_version was tracked per document, swapping or upgrading the embedding model was a controlled rebuild, not a guessing game — essential when ada-002 arrived mid-project.</w:t>
      </w:r>
    </w:p>
    <w:p>
      <w:pPr>
        <w:pStyle w:val="Heading2"/>
      </w:pPr>
      <w:r>
        <w:t xml:space="preserve">Strategy 7 — RAG synthesis layer (final phase)</w:t>
      </w:r>
    </w:p>
    <w:p>
      <w:pPr>
        <w:spacing w:after="160" w:line="276"/>
      </w:pPr>
      <w:r>
        <w:rPr>
          <w:b w:val="false"/>
          <w:bCs w:val="false"/>
          <w:i w:val="false"/>
          <w:iCs w:val="false"/>
        </w:rPr>
        <w:t xml:space="preserve">Once GPT-3.5-Turbo was available, the reranked context fed a RAG generation step so the platform could return a synthesized, source-grounded answer instead of a list of links. Crucially, this sat on top of an already-validated retrieval stack — retrieval quality is what makes RAG trustworthy, and that work was already done.</w:t>
      </w:r>
    </w:p>
    <w:p>
      <w:r>
        <w:br w:type="page"/>
      </w:r>
    </w:p>
    <w:p>
      <w:pPr>
        <w:pStyle w:val="Heading1"/>
      </w:pPr>
      <w:r>
        <w:t xml:space="preserve">6. The Evaluation Framework</w:t>
      </w:r>
    </w:p>
    <w:tbl>
      <w:tblPr>
        <w:tblW w:type="dxa" w:w="9360"/>
        <w:tblBorders>
          <w:top w:val="single" w:color="FBEDE6" w:sz="1"/>
          <w:left w:val="single" w:color="C2410C" w:sz="24"/>
          <w:bottom w:val="single" w:color="FBEDE6" w:sz="1"/>
          <w:right w:val="single" w:color="FBEDE6" w:sz="1"/>
          <w:insideH w:val="single" w:color="auto" w:sz="4"/>
          <w:insideV w:val="single" w:color="auto" w:sz="4"/>
        </w:tblBorders>
      </w:tblPr>
      <w:tblGrid>
        <w:gridCol w:w="9360"/>
      </w:tblGrid>
      <w:tr>
        <w:tc>
          <w:tcPr>
            <w:tcW w:type="dxa" w:w="9360"/>
            <w:shd w:fill="FBEDE6" w:val="clear"/>
            <w:tcMar>
              <w:top w:type="dxa" w:w="120"/>
              <w:left w:type="dxa" w:w="200"/>
              <w:bottom w:type="dxa" w:w="120"/>
              <w:right w:type="dxa" w:w="200"/>
            </w:tcMar>
          </w:tcPr>
          <w:p>
            <w:pPr>
              <w:spacing w:after="60"/>
            </w:pPr>
            <w:r>
              <w:rPr>
                <w:b/>
                <w:bCs/>
                <w:color w:val="2E2E2E"/>
              </w:rPr>
              <w:t xml:space="preserve">Thesis (lead with this)</w:t>
            </w:r>
          </w:p>
          <w:p>
            <w:r>
              <w:t xml:space="preserve">“Search quality is only real if you can measure it. I stood up offline IR evaluation — NDCG, MRR, MAP against labeled relevance judgments — on day one, before any fancy retrieval, so every change earned its place with a number. Then I validated online with search-success rate and A/B tests. The 14% relevance and 21% success numbers come from that harness, not from a hunch.”</w:t>
            </w:r>
          </w:p>
        </w:tc>
      </w:tr>
    </w:tbl>
    <w:p>
      <w:pPr>
        <w:pStyle w:val="Heading2"/>
      </w:pPr>
      <w:r>
        <w:t xml:space="preserve">Offline retrieval evaluation</w:t>
      </w:r>
    </w:p>
    <w:p>
      <w:pPr>
        <w:pStyle w:val="ListParagraph"/>
        <w:numPr>
          <w:ilvl w:val="0"/>
          <w:numId w:val="2"/>
        </w:numPr>
        <w:spacing w:after="80" w:line="270"/>
      </w:pPr>
      <w:r>
        <w:rPr>
          <w:b/>
          <w:bCs/>
          <w:i w:val="false"/>
          <w:iCs w:val="false"/>
        </w:rPr>
        <w:t xml:space="preserve">NDCG </w:t>
      </w:r>
      <w:r>
        <w:t xml:space="preserve">— rewards putting the most relevant results highest, graded by relevance.</w:t>
      </w:r>
    </w:p>
    <w:p>
      <w:pPr>
        <w:pStyle w:val="ListParagraph"/>
        <w:numPr>
          <w:ilvl w:val="0"/>
          <w:numId w:val="2"/>
        </w:numPr>
        <w:spacing w:after="80" w:line="270"/>
      </w:pPr>
      <w:r>
        <w:rPr>
          <w:b/>
          <w:bCs/>
          <w:i w:val="false"/>
          <w:iCs w:val="false"/>
        </w:rPr>
        <w:t xml:space="preserve">MRR </w:t>
      </w:r>
      <w:r>
        <w:t xml:space="preserve">— how high the first relevant result lands; matters when associates scan the top few.</w:t>
      </w:r>
    </w:p>
    <w:p>
      <w:pPr>
        <w:pStyle w:val="ListParagraph"/>
        <w:numPr>
          <w:ilvl w:val="0"/>
          <w:numId w:val="2"/>
        </w:numPr>
        <w:spacing w:after="80" w:line="270"/>
      </w:pPr>
      <w:r>
        <w:rPr>
          <w:b/>
          <w:bCs/>
          <w:i w:val="false"/>
          <w:iCs w:val="false"/>
        </w:rPr>
        <w:t xml:space="preserve">MAP </w:t>
      </w:r>
      <w:r>
        <w:t xml:space="preserve">— precision across the full ranked list, aggregated over the query set.</w:t>
      </w:r>
    </w:p>
    <w:p>
      <w:pPr>
        <w:pStyle w:val="ListParagraph"/>
        <w:numPr>
          <w:ilvl w:val="0"/>
          <w:numId w:val="2"/>
        </w:numPr>
        <w:spacing w:after="80" w:line="270"/>
      </w:pPr>
      <w:r>
        <w:rPr>
          <w:b/>
          <w:bCs/>
          <w:i w:val="false"/>
          <w:iCs w:val="false"/>
        </w:rPr>
        <w:t xml:space="preserve">Labeled judgment sets </w:t>
      </w:r>
      <w:r>
        <w:t xml:space="preserve">— query-to-relevant-document pairs per content type, re-run on every chunking, embedding, or ranking change.</w:t>
      </w:r>
    </w:p>
    <w:p>
      <w:pPr>
        <w:pStyle w:val="Heading2"/>
      </w:pPr>
      <w:r>
        <w:t xml:space="preserve">Component-level attribution</w:t>
      </w:r>
    </w:p>
    <w:p>
      <w:pPr>
        <w:spacing w:after="160" w:line="276"/>
      </w:pPr>
      <w:r>
        <w:rPr>
          <w:b w:val="false"/>
          <w:bCs w:val="false"/>
          <w:i w:val="false"/>
          <w:iCs w:val="false"/>
        </w:rPr>
        <w:t xml:space="preserve">Because BM25-only was the Phase-1 baseline, the relevance lift from adding FAISS, RRF fusion, and cross-encoder reranking could be attributed cleanly — that’s how “14% retrieval relevance uplift” is a defensible, isolated number rather than a vague before/after.</w:t>
      </w:r>
    </w:p>
    <w:p>
      <w:pPr>
        <w:pStyle w:val="Heading2"/>
      </w:pPr>
      <w:r>
        <w:t xml:space="preserve">Online &amp; operational evaluation</w:t>
      </w:r>
    </w:p>
    <w:p>
      <w:pPr>
        <w:pStyle w:val="ListParagraph"/>
        <w:numPr>
          <w:ilvl w:val="0"/>
          <w:numId w:val="2"/>
        </w:numPr>
        <w:spacing w:after="80" w:line="270"/>
      </w:pPr>
      <w:r>
        <w:rPr>
          <w:b/>
          <w:bCs/>
          <w:i w:val="false"/>
          <w:iCs w:val="false"/>
        </w:rPr>
        <w:t xml:space="preserve">Search-success rate </w:t>
      </w:r>
      <w:r>
        <w:t xml:space="preserve">— did the user find and use an answer? This is the 21% improvement.</w:t>
      </w:r>
    </w:p>
    <w:p>
      <w:pPr>
        <w:pStyle w:val="ListParagraph"/>
        <w:numPr>
          <w:ilvl w:val="0"/>
          <w:numId w:val="2"/>
        </w:numPr>
        <w:spacing w:after="80" w:line="270"/>
      </w:pPr>
      <w:r>
        <w:rPr>
          <w:b/>
          <w:bCs/>
          <w:i w:val="false"/>
          <w:iCs w:val="false"/>
        </w:rPr>
        <w:t xml:space="preserve">A/B testing </w:t>
      </w:r>
      <w:r>
        <w:t xml:space="preserve">— BM25-only vs hybrid, measured on live traffic before full rollout.</w:t>
      </w:r>
    </w:p>
    <w:p>
      <w:pPr>
        <w:pStyle w:val="ListParagraph"/>
        <w:numPr>
          <w:ilvl w:val="0"/>
          <w:numId w:val="2"/>
        </w:numPr>
        <w:spacing w:after="80" w:line="270"/>
      </w:pPr>
      <w:r>
        <w:rPr>
          <w:b/>
          <w:bCs/>
          <w:i w:val="false"/>
          <w:iCs w:val="false"/>
        </w:rPr>
        <w:t xml:space="preserve">Latency SLO </w:t>
      </w:r>
      <w:r>
        <w:t xml:space="preserve">— p95 &lt; 900 ms enforced and monitored, with reranking scoped to top candidates to protect it.</w:t>
      </w:r>
    </w:p>
    <w:p>
      <w:pPr>
        <w:pStyle w:val="ListParagraph"/>
        <w:numPr>
          <w:ilvl w:val="0"/>
          <w:numId w:val="2"/>
        </w:numPr>
        <w:spacing w:after="80" w:line="270"/>
      </w:pPr>
      <w:r>
        <w:rPr>
          <w:b/>
          <w:bCs/>
          <w:i w:val="false"/>
          <w:iCs w:val="false"/>
        </w:rPr>
        <w:t xml:space="preserve">Observability </w:t>
      </w:r>
      <w:r>
        <w:t xml:space="preserve">— Elasticsearch + Kibana for query analysis, Prometheus + Grafana for service health and latency.</w:t>
      </w:r>
    </w:p>
    <w:p>
      <w:r>
        <w:br w:type="page"/>
      </w:r>
    </w:p>
    <w:p>
      <w:pPr>
        <w:pStyle w:val="Heading1"/>
      </w:pPr>
      <w:r>
        <w:t xml:space="preserve">7. The Technology Stack — Every Tool, Why, and How</w:t>
      </w:r>
    </w:p>
    <w:p>
      <w:pPr>
        <w:spacing w:after="160" w:line="276"/>
      </w:pPr>
      <w:r>
        <w:rPr>
          <w:b w:val="false"/>
          <w:bCs w:val="false"/>
          <w:i w:val="false"/>
          <w:iCs w:val="false"/>
        </w:rPr>
        <w:t xml:space="preserve">The full stack, grouped by role. A distinctive feature of this story is that it’s timeline-honest — the verification table at the end maps every technology to when it was actually available, which is a credibility asset in an interview.</w:t>
      </w:r>
    </w:p>
    <w:p>
      <w:pPr>
        <w:pStyle w:val="Heading2"/>
      </w:pPr>
      <w:r>
        <w:t xml:space="preserve">Ingestion &amp;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Tool</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spaCy</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Linguistically-aware text processing</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Sentence splitting and NLP normalization before chunking</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PyMuPDF</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Robust PDF text extraction</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Pulls text/layout from product spec PDFs</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python-docx</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Word document parsing</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Extracts DIY guide content from DOCX</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BeautifulSoup 4</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HTML parsing/cleaning</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Cleans the HTML knowledge base into normalized text</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MS Graph API</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SharePoint access</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Pulls operations content from SharePoint</w:t>
            </w:r>
          </w:p>
        </w:tc>
      </w:tr>
    </w:tbl>
    <w:p>
      <w:pPr>
        <w:pStyle w:val="Heading2"/>
      </w:pPr>
      <w:r>
        <w:t xml:space="preserve">Indexing, retrieval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Tool</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Elasticsearch / BM25</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Exact-term sparse retrieval</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Keyword index for SKUs, model numbers, exact phrases</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FAISS</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Dense vector retrieval</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Cosine-similarity semantic search over embeddings</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Reciprocal Rank Fusion</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Merge two score scales</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Rank-based fusion (k=60) of BM25 + dense results</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Cross-encoder (ms-marco-MiniLM-L-6-v2)</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Top-of-list precision</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Joint query-document reranking of top candidates</w:t>
            </w:r>
          </w:p>
        </w:tc>
      </w:tr>
    </w:tbl>
    <w:p>
      <w:pPr>
        <w:pStyle w:val="Heading2"/>
      </w:pPr>
      <w:r>
        <w:t xml:space="preserve">Embeddings &amp;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Tool</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Sentence-BERT / HF Transformers</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Open-source dense embeddings</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Initial Phase-2 dense layer (pre-ada-002)</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text-embedding-ada-002</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Stronger embeddings (late)</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Upgraded embedding model once available (Dec 2022)</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GPT-3.5-Turbo (Azure OpenAI)</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Grounded answer generation (late)</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RAG synthesis over reranked context (Mar–Apr 2023)</w:t>
            </w:r>
          </w:p>
        </w:tc>
      </w:tr>
    </w:tbl>
    <w:p>
      <w:pPr>
        <w:pStyle w:val="Heading2"/>
      </w:pPr>
      <w:r>
        <w:t xml:space="preserve">Data, serving, observability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Tool</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Why it’s there</w:t>
            </w:r>
          </w:p>
        </w:tc>
        <w:tc>
          <w:tcPr>
            <w:tcW w:type="dxa" w:w="348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How it’s used</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PostgreSQL</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Document metadata &amp; tracking</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Doc ID, source, dept, version, access level, embedding version</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Cosmos DB</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Flexible operational store</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Document/query state alongside the metadata layer</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FastAPI + Pydantic</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Typed serving layer</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The retrieval/serving API with validated request/response schemas</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Prometheus + Grafana</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Metrics &amp; dashboards</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Service health, latency, throughput monitoring</w:t>
            </w:r>
          </w:p>
        </w:tc>
      </w:tr>
      <w:tr>
        <w:tc>
          <w:tcPr>
            <w:tcW w:type="dxa" w:w="24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Kibana</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Query/log analysis</w:t>
            </w:r>
          </w:p>
        </w:tc>
        <w:tc>
          <w:tcPr>
            <w:tcW w:type="dxa" w:w="348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Inspecting search behavior over Elasticsearch</w:t>
            </w:r>
          </w:p>
        </w:tc>
      </w:tr>
      <w:tr>
        <w:tc>
          <w:tcPr>
            <w:tcW w:type="dxa" w:w="24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Containerized infra</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Scale &amp; safe deploys</w:t>
            </w:r>
          </w:p>
        </w:tc>
        <w:tc>
          <w:tcPr>
            <w:tcW w:type="dxa" w:w="348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Horizontal scaling, rolling deployments with rollback, scheduled re-embedding</w:t>
            </w:r>
          </w:p>
        </w:tc>
      </w:tr>
    </w:tbl>
    <w:p>
      <w:pPr>
        <w:pStyle w:val="Heading2"/>
      </w:pPr>
      <w:r>
        <w:t xml:space="preserve">Technology timeline verification (the credibility centerpiece)</w:t>
      </w:r>
    </w:p>
    <w:p>
      <w:pPr>
        <w:spacing w:after="160" w:line="276"/>
      </w:pPr>
      <w:r>
        <w:rPr>
          <w:b w:val="false"/>
          <w:bCs w:val="false"/>
          <w:i w:val="false"/>
          <w:iCs w:val="false"/>
        </w:rPr>
        <w:t xml:space="preserve">The original profile had a couple of anachronisms worth correcting once and owning forever: the title “Generative AI Specialist” wasn’t mainstream in Sep 2021 (hence “ML Engineer / Search AI Specialist”), and the newest OpenAI components were only available near the end of the tenure.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600"/>
        <w:gridCol w:w="2560"/>
      </w:tblGrid>
      <w:tr>
        <w:trPr>
          <w:tblHeader/>
        </w:trPr>
        <w:tc>
          <w:tcPr>
            <w:tcW w:type="dxa" w:w="30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Technology</w:t>
            </w:r>
          </w:p>
        </w:tc>
        <w:tc>
          <w:tcPr>
            <w:tcW w:type="dxa" w:w="22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Available since</w:t>
            </w:r>
          </w:p>
        </w:tc>
        <w:tc>
          <w:tcPr>
            <w:tcW w:type="dxa" w:w="16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Phase</w:t>
            </w:r>
          </w:p>
        </w:tc>
        <w:tc>
          <w:tcPr>
            <w:tcW w:type="dxa" w:w="25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Note</w:t>
            </w:r>
          </w:p>
        </w:tc>
      </w:tr>
      <w:tr>
        <w:tc>
          <w:tcPr>
            <w:tcW w:type="dxa" w:w="30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BM25 / Elasticsearch</w:t>
            </w:r>
          </w:p>
        </w:tc>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spaCy, FastAPI, PyMuPDF, python-docx, BS4</w:t>
            </w:r>
          </w:p>
        </w:tc>
        <w:tc>
          <w:tcPr>
            <w:tcW w:type="dxa" w:w="22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PostgreSQL, Cosmos DB, MS Graph API</w:t>
            </w:r>
          </w:p>
        </w:tc>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Prometheus, Grafana, Kibana</w:t>
            </w:r>
          </w:p>
        </w:tc>
        <w:tc>
          <w:tcPr>
            <w:tcW w:type="dxa" w:w="22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1</w:t>
            </w:r>
          </w:p>
        </w:tc>
        <w:tc>
          <w:tcPr>
            <w:tcW w:type="dxa" w:w="25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FAISS</w:t>
            </w:r>
          </w:p>
        </w:tc>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2017</w:t>
            </w:r>
          </w:p>
        </w:tc>
        <w:tc>
          <w:tcPr>
            <w:tcW w:type="dxa" w:w="1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2</w:t>
            </w:r>
          </w:p>
        </w:tc>
        <w:tc>
          <w:tcPr>
            <w:tcW w:type="dxa" w:w="25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Sentence-BERT / sentence-transformers</w:t>
            </w:r>
          </w:p>
        </w:tc>
        <w:tc>
          <w:tcPr>
            <w:tcW w:type="dxa" w:w="22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2019</w:t>
            </w:r>
          </w:p>
        </w:tc>
        <w:tc>
          <w:tcPr>
            <w:tcW w:type="dxa" w:w="16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2</w:t>
            </w:r>
          </w:p>
        </w:tc>
        <w:tc>
          <w:tcPr>
            <w:tcW w:type="dxa" w:w="25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RRF, cross-encoder reranking</w:t>
            </w:r>
          </w:p>
        </w:tc>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Mature</w:t>
            </w:r>
          </w:p>
        </w:tc>
        <w:tc>
          <w:tcPr>
            <w:tcW w:type="dxa" w:w="1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2</w:t>
            </w:r>
          </w:p>
        </w:tc>
        <w:tc>
          <w:tcPr>
            <w:tcW w:type="dxa" w:w="25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Period-accurate</w:t>
            </w:r>
          </w:p>
        </w:tc>
      </w:tr>
      <w:tr>
        <w:tc>
          <w:tcPr>
            <w:tcW w:type="dxa" w:w="30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text-embedding-ada-002</w:t>
            </w:r>
          </w:p>
        </w:tc>
        <w:tc>
          <w:tcPr>
            <w:tcW w:type="dxa" w:w="22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Dec 2022</w:t>
            </w:r>
          </w:p>
        </w:tc>
        <w:tc>
          <w:tcPr>
            <w:tcW w:type="dxa" w:w="16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2 (late)</w:t>
            </w:r>
          </w:p>
        </w:tc>
        <w:tc>
          <w:tcPr>
            <w:tcW w:type="dxa" w:w="25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Flag: only final ~4 months</w:t>
            </w:r>
          </w:p>
        </w:tc>
      </w:tr>
      <w:tr>
        <w:tc>
          <w:tcPr>
            <w:tcW w:type="dxa" w:w="30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GPT-3.5-Turbo (Azure OpenAI)</w:t>
            </w:r>
          </w:p>
        </w:tc>
        <w:tc>
          <w:tcPr>
            <w:tcW w:type="dxa" w:w="22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Mar 1, 2023</w:t>
            </w:r>
          </w:p>
        </w:tc>
        <w:tc>
          <w:tcPr>
            <w:tcW w:type="dxa" w:w="1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3</w:t>
            </w:r>
          </w:p>
        </w:tc>
        <w:tc>
          <w:tcPr>
            <w:tcW w:type="dxa" w:w="25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Flag: only final ~2 months</w:t>
            </w:r>
          </w:p>
        </w:tc>
      </w:tr>
    </w:tbl>
    <w:p>
      <w:r>
        <w:br w:type="page"/>
      </w:r>
    </w:p>
    <w:p>
      <w:pPr>
        <w:pStyle w:val="Heading1"/>
      </w:pPr>
      <w:r>
        <w:t xml:space="preserve">8. Pain Points by Layer &amp; Mitigations</w:t>
      </w:r>
    </w:p>
    <w:p>
      <w:pPr>
        <w:spacing w:after="160" w:line="276"/>
      </w:pPr>
      <w:r>
        <w:rPr>
          <w:b w:val="false"/>
          <w:bCs w:val="false"/>
          <w:i w:val="false"/>
          <w:iCs w:val="false"/>
        </w:rPr>
        <w:t xml:space="preserve">The inevitable senior follow-up to any architecture pitch is “where does this break in production?” Below are two pain points per architectural layer — twelve in total — each tagged by its primary concern.</w:t>
      </w:r>
    </w:p>
    <w:p>
      <w:pPr>
        <w:spacing w:after="160" w:line="276"/>
      </w:pPr>
      <w:r>
        <w:rPr>
          <w:b/>
          <w:bCs/>
          <w:i w:val="false"/>
          <w:iCs w:val="false"/>
        </w:rPr>
        <w:t xml:space="preserve">Legend:  </w:t>
      </w:r>
      <w:r>
        <w:rPr>
          <w:b/>
          <w:bCs/>
          <w:i w:val="false"/>
          <w:iCs w:val="false"/>
          <w:color w:val="1F6FB2"/>
        </w:rPr>
        <w:t xml:space="preserve">integration</w:t>
      </w:r>
      <w:r>
        <w:t xml:space="preserve">   ·   </w:t>
      </w:r>
      <w:r>
        <w:rPr>
          <w:b/>
          <w:bCs/>
          <w:i w:val="false"/>
          <w:iCs w:val="false"/>
          <w:color w:val="B45309"/>
        </w:rPr>
        <w:t xml:space="preserve">latency</w:t>
      </w:r>
      <w:r>
        <w:t xml:space="preserve">   ·   </w:t>
      </w:r>
      <w:r>
        <w:rPr>
          <w:b/>
          <w:bCs/>
          <w:i w:val="false"/>
          <w:iCs w:val="false"/>
          <w:color w:val="B91C1C"/>
        </w:rPr>
        <w:t xml:space="preserve">retrieval &amp; answer quality</w:t>
      </w:r>
    </w:p>
    <w:p>
      <w:pPr>
        <w:pStyle w:val="Heading2"/>
      </w:pPr>
      <w:r>
        <w:t xml:space="preserve">Layer 1 — Ingestion &amp;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quality</w:t>
            </w:r>
          </w:p>
        </w:tc>
        <w:tc>
          <w:tcPr>
            <w:tcW w:type="dxa" w:w="196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sz w:val="20"/>
                <w:szCs w:val="20"/>
              </w:rPr>
              <w:t xml:space="preserve">Lossy extraction on complex PDFs/tables</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PyMuPDF flattens multi-column spec sheets and tables, so a product’s amperage or dimensions get garbled or mis-attributed before they’re ever indexed — wrong data in, wrong answer out.</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Layout/table-aware extraction with per-source-type validation; extraction-confidence flags; fallback handlers; spot-check the highest-traffic document types.</w:t>
            </w:r>
          </w:p>
        </w:tc>
      </w:tr>
      <w:tr>
        <w:tc>
          <w:tcPr>
            <w:tcW w:type="dxa" w:w="112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color w:val="1F6FB2"/>
                <w:sz w:val="19"/>
                <w:szCs w:val="19"/>
              </w:rPr>
              <w:t xml:space="preserve">integration</w:t>
            </w:r>
          </w:p>
        </w:tc>
        <w:tc>
          <w:tcPr>
            <w:tcW w:type="dxa" w:w="196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sz w:val="20"/>
                <w:szCs w:val="20"/>
              </w:rPr>
              <w:t xml:space="preserve">Source-format drift / handler breakage</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A SharePoint API change or a new file variant silently fails ingestion, so content goes stale or missing without anyone noticing.</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Contract/format checks per source; ingestion success/failure metrics with alerts; dead-letter for failed docs; idempotent, resumable re-ingestion.</w:t>
            </w:r>
          </w:p>
        </w:tc>
      </w:tr>
    </w:tbl>
    <w:p>
      <w:pPr>
        <w:pStyle w:val="Heading2"/>
      </w:pPr>
      <w:r>
        <w:t xml:space="preserve">Layer 2 — Metadata &amp; indexing (PostgreSQL + dual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color w:val="1F6FB2"/>
                <w:sz w:val="19"/>
                <w:szCs w:val="19"/>
              </w:rPr>
              <w:t xml:space="preserve">integration</w:t>
            </w:r>
          </w:p>
        </w:tc>
        <w:tc>
          <w:tcPr>
            <w:tcW w:type="dxa" w:w="196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sz w:val="20"/>
                <w:szCs w:val="20"/>
              </w:rPr>
              <w:t xml:space="preserve">Embedding-version skew across FAISS</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Re-embedding with a new model (Sentence-BERT → ada-002) while old vectors remain creates a mixed vector space and silently degrades semantic recall.</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embedding_version tracked per doc in PostgreSQL; blue/green FAISS rebuild; gated full re-embed; never query across versions.</w:t>
            </w:r>
          </w:p>
        </w:tc>
      </w:tr>
      <w:tr>
        <w:tc>
          <w:tcPr>
            <w:tcW w:type="dxa" w:w="112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sz w:val="20"/>
                <w:szCs w:val="20"/>
              </w:rPr>
              <w:t xml:space="preserve">Index staleness vs live inventory</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Batch re-embedding lags, but inventory from the API feeds changes faster than the index — so an associate sees an out-of-stock item as available.</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Keep volatile data on a fast path (query the live API at serve time rather than embedding it); incremental scheduled re-index; freshness SLAs and TTLs per source type.</w:t>
            </w:r>
          </w:p>
        </w:tc>
      </w:tr>
    </w:tbl>
    <w:p>
      <w:pPr>
        <w:pStyle w:val="Heading2"/>
      </w:pPr>
      <w:r>
        <w:t xml:space="preserve">Layer 3 — Retrieval &amp; ranking (hybrid + RRF + rerank)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sz w:val="20"/>
                <w:szCs w:val="20"/>
              </w:rPr>
              <w:t xml:space="preserve">Cross-encoder rerank on the critical path</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Reranking too many candidates jointly is expensive and can blow the 900ms budget under load.</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Cap rerank to a top-K candidate set (e.g., 50→10); cache rerank scores for hot queries; keep a warm rerank-model pool; tune the candidate-set size.</w:t>
            </w:r>
          </w:p>
        </w:tc>
      </w:tr>
      <w:tr>
        <w:tc>
          <w:tcPr>
            <w:tcW w:type="dxa" w:w="112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color w:val="B91C1C"/>
                <w:sz w:val="19"/>
                <w:szCs w:val="19"/>
              </w:rPr>
              <w:t xml:space="preserve">quality</w:t>
            </w:r>
          </w:p>
        </w:tc>
        <w:tc>
          <w:tcPr>
            <w:tcW w:type="dxa" w:w="196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sz w:val="20"/>
                <w:szCs w:val="20"/>
              </w:rPr>
              <w:t xml:space="preserve">BM25 / vector imbalance in fusion</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Equal-weight RRF lets the vector arm inject fuzzy noise into exact SKU lookups and lets BM25 drag keyword false-positives into conceptual queries.</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Query-intent classification to weight the arms; tuned k / weighted RRF; A/B fusion weights against relevance judgments; per-query-class NDCG monitoring.</w:t>
            </w:r>
          </w:p>
        </w:tc>
      </w:tr>
    </w:tbl>
    <w:p>
      <w:pPr>
        <w:pStyle w:val="Heading2"/>
      </w:pPr>
      <w:r>
        <w:t xml:space="preserve">Layer 4 — RAG synthesis (GPT-3.5-Turbo)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quality</w:t>
            </w:r>
          </w:p>
        </w:tc>
        <w:tc>
          <w:tcPr>
            <w:tcW w:type="dxa" w:w="196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sz w:val="20"/>
                <w:szCs w:val="20"/>
              </w:rPr>
              <w:t xml:space="preserve">Ungrounded generation on weak retrieval</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When retrieval is thin, GPT-3.5-Turbo fabricates a plausible product spec or DIY step that isn’t in any source.</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Retrieval-confidence floor → fall back to ranked sources only; citation/grounding enforcement; instruct-to-abstain prompting; faithfulness eval on a labeled set.</w:t>
            </w:r>
          </w:p>
        </w:tc>
      </w:tr>
      <w:tr>
        <w:tc>
          <w:tcPr>
            <w:tcW w:type="dxa" w:w="112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sz w:val="20"/>
                <w:szCs w:val="20"/>
              </w:rPr>
              <w:t xml:space="preserve">LLM latency + Azure OpenAI throttling</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Synthesis adds seconds and TPM limits cause 429s/retries on the serve path — painful when an associate is mid-conversation with a customer.</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Stream tokens for low time-to-first-token; gate RAG to queries that actually benefit; cache answers for common questions; fall back to ranked results if the LLM is slow or down.</w:t>
            </w:r>
          </w:p>
        </w:tc>
      </w:tr>
    </w:tbl>
    <w:p>
      <w:pPr>
        <w:pStyle w:val="Heading2"/>
      </w:pPr>
      <w:r>
        <w:t xml:space="preserve">Layer 5 — Serving &amp; API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color w:val="B45309"/>
                <w:sz w:val="19"/>
                <w:szCs w:val="19"/>
              </w:rPr>
              <w:t xml:space="preserve">latency</w:t>
            </w:r>
          </w:p>
        </w:tc>
        <w:tc>
          <w:tcPr>
            <w:tcW w:type="dxa" w:w="196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sz w:val="20"/>
                <w:szCs w:val="20"/>
              </w:rPr>
              <w:t xml:space="preserve">Serialized retrieval pipeline</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Running BM25, FAISS, rerank, and RAG sequentially stacks their latencies into one slow response.</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Run BM25 and FAISS retrieval in parallel (asyncio.gather); pipeline the rerank; budget each stage; degrade gracefully (skip RAG) when over budget.</w:t>
            </w:r>
          </w:p>
        </w:tc>
      </w:tr>
      <w:tr>
        <w:tc>
          <w:tcPr>
            <w:tcW w:type="dxa" w:w="112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color w:val="1F6FB2"/>
                <w:sz w:val="19"/>
                <w:szCs w:val="19"/>
              </w:rPr>
              <w:t xml:space="preserve">integration</w:t>
            </w:r>
          </w:p>
        </w:tc>
        <w:tc>
          <w:tcPr>
            <w:tcW w:type="dxa" w:w="196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sz w:val="20"/>
                <w:szCs w:val="20"/>
              </w:rPr>
              <w:t xml:space="preserve">Contract drift between services</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The retrieval service and serving API evolve independently and break each other’s response contracts.</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Pydantic-validated request/response schemas; versioned API; contract tests in CI; backward-compatible changes only.</w:t>
            </w:r>
          </w:p>
        </w:tc>
      </w:tr>
    </w:tbl>
    <w:p>
      <w:pPr>
        <w:pStyle w:val="Heading2"/>
      </w:pPr>
      <w:r>
        <w:t xml:space="preserve">Layer 6 — Observability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960"/>
        <w:gridCol w:w="3140"/>
        <w:gridCol w:w="3140"/>
      </w:tblGrid>
      <w:tr>
        <w:trPr>
          <w:tblHeader/>
        </w:trPr>
        <w:tc>
          <w:tcPr>
            <w:tcW w:type="dxa" w:w="112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Theme</w:t>
            </w:r>
          </w:p>
        </w:tc>
        <w:tc>
          <w:tcPr>
            <w:tcW w:type="dxa" w:w="19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Pain point</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Problem</w:t>
            </w:r>
          </w:p>
        </w:tc>
        <w:tc>
          <w:tcPr>
            <w:tcW w:type="dxa" w:w="314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Mitigation</w:t>
            </w:r>
          </w:p>
        </w:tc>
      </w:tr>
      <w:tr>
        <w:tc>
          <w:tcPr>
            <w:tcW w:type="dxa" w:w="112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color w:val="B91C1C"/>
                <w:sz w:val="19"/>
                <w:szCs w:val="19"/>
              </w:rPr>
              <w:t xml:space="preserve">quality</w:t>
            </w:r>
          </w:p>
        </w:tc>
        <w:tc>
          <w:tcPr>
            <w:tcW w:type="dxa" w:w="196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b/>
                <w:bCs/>
                <w:sz w:val="20"/>
                <w:szCs w:val="20"/>
              </w:rPr>
              <w:t xml:space="preserve">Relevance regressions go unnoticed</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A chunking or model change silently degrades relevance, and nobody notices until search-success drops in the wild.</w:t>
            </w:r>
          </w:p>
        </w:tc>
        <w:tc>
          <w:tcPr>
            <w:tcW w:type="dxa" w:w="3140"/>
            <w:tcBorders>
              <w:top w:val="single" w:color="E2D6CE" w:sz="1"/>
              <w:left w:val="single" w:color="E2D6CE" w:sz="1"/>
              <w:bottom w:val="single" w:color="E2D6CE" w:sz="1"/>
              <w:right w:val="single" w:color="E2D6CE" w:sz="1"/>
            </w:tcBorders>
            <w:shd w:fill="FFFFFF" w:val="clear"/>
            <w:tcMar>
              <w:top w:type="dxa" w:w="80"/>
              <w:left w:type="dxa" w:w="110"/>
              <w:bottom w:type="dxa" w:w="80"/>
              <w:right w:type="dxa" w:w="110"/>
            </w:tcMar>
            <w:vAlign w:val="top"/>
          </w:tcPr>
          <w:p>
            <w:pPr>
              <w:spacing w:after="0" w:line="258"/>
            </w:pPr>
            <w:r>
              <w:rPr>
                <w:sz w:val="20"/>
                <w:szCs w:val="20"/>
              </w:rPr>
              <w:t xml:space="preserve">Offline NDCG/MRR/MAP gate in CI on every change; online search-success monitoring with alerts; A/B before rollout; query-log review in Kibana.</w:t>
            </w:r>
          </w:p>
        </w:tc>
      </w:tr>
      <w:tr>
        <w:tc>
          <w:tcPr>
            <w:tcW w:type="dxa" w:w="112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color w:val="1F6FB2"/>
                <w:sz w:val="19"/>
                <w:szCs w:val="19"/>
              </w:rPr>
              <w:t xml:space="preserve">integration</w:t>
            </w:r>
          </w:p>
        </w:tc>
        <w:tc>
          <w:tcPr>
            <w:tcW w:type="dxa" w:w="196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b/>
                <w:bCs/>
                <w:sz w:val="20"/>
                <w:szCs w:val="20"/>
              </w:rPr>
              <w:t xml:space="preserve">Re-embedding pipeline partial failure</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A scheduled re-embedding job fails midway and leaves a partial index, producing inconsistent results.</w:t>
            </w:r>
          </w:p>
        </w:tc>
        <w:tc>
          <w:tcPr>
            <w:tcW w:type="dxa" w:w="3140"/>
            <w:tcBorders>
              <w:top w:val="single" w:color="E2D6CE" w:sz="1"/>
              <w:left w:val="single" w:color="E2D6CE" w:sz="1"/>
              <w:bottom w:val="single" w:color="E2D6CE" w:sz="1"/>
              <w:right w:val="single" w:color="E2D6CE" w:sz="1"/>
            </w:tcBorders>
            <w:shd w:fill="F8F2EE" w:val="clear"/>
            <w:tcMar>
              <w:top w:type="dxa" w:w="80"/>
              <w:left w:type="dxa" w:w="110"/>
              <w:bottom w:type="dxa" w:w="80"/>
              <w:right w:type="dxa" w:w="110"/>
            </w:tcMar>
            <w:vAlign w:val="top"/>
          </w:tcPr>
          <w:p>
            <w:pPr>
              <w:spacing w:after="0" w:line="258"/>
            </w:pPr>
            <w:r>
              <w:rPr>
                <w:sz w:val="20"/>
                <w:szCs w:val="20"/>
              </w:rPr>
              <w:t xml:space="preserve">Atomic blue/green swap — promote only on full success; job success metrics + alerts; rollback to last-good index; idempotent, resumable jobs.</w:t>
            </w:r>
          </w:p>
        </w:tc>
      </w:tr>
    </w:tbl>
    <w:p>
      <w:pPr>
        <w:pStyle w:val="Heading2"/>
      </w:pPr>
      <w:r>
        <w:t xml:space="preserve">The patterns underneath</w:t>
      </w:r>
    </w:p>
    <w:p>
      <w:pPr>
        <w:pStyle w:val="ListParagraph"/>
        <w:numPr>
          <w:ilvl w:val="0"/>
          <w:numId w:val="2"/>
        </w:numPr>
        <w:spacing w:after="80" w:line="270"/>
      </w:pPr>
      <w:r>
        <w:rPr>
          <w:b/>
          <w:bCs/>
          <w:i w:val="false"/>
          <w:iCs w:val="false"/>
          <w:color w:val="B45309"/>
        </w:rPr>
        <w:t xml:space="preserve">Latency </w:t>
      </w:r>
      <w:r>
        <w:t xml:space="preserve">clusters in the synchronous stages and the rerank/RAG additions — parallelize retrieval, cap the rerank, gate and stream RAG, and degrade gracefully.</w:t>
      </w:r>
    </w:p>
    <w:p>
      <w:pPr>
        <w:pStyle w:val="ListParagraph"/>
        <w:numPr>
          <w:ilvl w:val="0"/>
          <w:numId w:val="2"/>
        </w:numPr>
        <w:spacing w:after="80" w:line="270"/>
      </w:pPr>
      <w:r>
        <w:rPr>
          <w:b/>
          <w:bCs/>
          <w:i w:val="false"/>
          <w:iCs w:val="false"/>
          <w:color w:val="1F6FB2"/>
        </w:rPr>
        <w:t xml:space="preserve">Integration </w:t>
      </w:r>
      <w:r>
        <w:t xml:space="preserve">failures are version and format drift — across sources, embeddings, and API contracts — fixed with versioned contracts, blue/green index swaps, and resumable jobs.</w:t>
      </w:r>
    </w:p>
    <w:p>
      <w:pPr>
        <w:pStyle w:val="ListParagraph"/>
        <w:numPr>
          <w:ilvl w:val="0"/>
          <w:numId w:val="2"/>
        </w:numPr>
        <w:spacing w:after="80" w:line="270"/>
      </w:pPr>
      <w:r>
        <w:rPr>
          <w:b/>
          <w:bCs/>
          <w:i w:val="false"/>
          <w:iCs w:val="false"/>
          <w:color w:val="B91C1C"/>
        </w:rPr>
        <w:t xml:space="preserve">Quality </w:t>
      </w:r>
      <w:r>
        <w:t xml:space="preserve">failures are usually upstream (extraction loss, fusion imbalance, thin retrieval) before they’re “the model’s fault” — caught with eval-gated changes, retrieval-confidence floors, and intent-aware fusion.</w:t>
      </w:r>
    </w:p>
    <w:p>
      <w:r>
        <w:br w:type="page"/>
      </w:r>
    </w:p>
    <w:p>
      <w:pPr>
        <w:pStyle w:val="Heading1"/>
      </w:pPr>
      <w:r>
        <w:t xml:space="preserve">9. The Differentiator &amp; Closing Narrative</w:t>
      </w:r>
    </w:p>
    <w:p>
      <w:pPr>
        <w:spacing w:after="160" w:line="276"/>
      </w:pPr>
      <w:r>
        <w:rPr>
          <w:b w:val="false"/>
          <w:bCs w:val="false"/>
          <w:i w:val="false"/>
          <w:iCs w:val="false"/>
        </w:rPr>
        <w:t xml:space="preserve">Home Depot is the project where you made the bridge from classic information retrieval to generative AI — at retail scale, with production rigor and honest, metric-driven evaluation. It’s the technical foundation that everything regulated and multi-agent later sat on top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Why it lands</w:t>
            </w:r>
          </w:p>
        </w:tc>
        <w:tc>
          <w:tcPr>
            <w:tcW w:type="dxa" w:w="6760"/>
            <w:tcBorders>
              <w:top w:val="single" w:color="E2D6CE" w:sz="1"/>
              <w:left w:val="single" w:color="E2D6CE" w:sz="1"/>
              <w:bottom w:val="single" w:color="E2D6CE" w:sz="1"/>
              <w:right w:val="single" w:color="E2D6CE" w:sz="1"/>
            </w:tcBorders>
            <w:shd w:fill="2E2E2E" w:val="clear"/>
            <w:tcMar>
              <w:top w:type="dxa" w:w="80"/>
              <w:left w:type="dxa" w:w="120"/>
              <w:bottom w:type="dxa" w:w="80"/>
              <w:right w:type="dxa" w:w="120"/>
            </w:tcMar>
            <w:vAlign w:val="center"/>
          </w:tcPr>
          <w:p>
            <w:pPr>
              <w:spacing w:after="0" w:line="264"/>
            </w:pPr>
            <w:r>
              <w:rPr>
                <w:b/>
                <w:bCs/>
                <w:color w:val="FFFFFF"/>
              </w:rPr>
              <w:t xml:space="preserve">The point</w:t>
            </w:r>
          </w:p>
        </w:tc>
      </w:tr>
      <w:tr>
        <w:tc>
          <w:tcPr>
            <w:tcW w:type="dxa" w:w="2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Full-stack search ownership</w:t>
            </w:r>
          </w:p>
        </w:tc>
        <w:tc>
          <w:tcPr>
            <w:tcW w:type="dxa" w:w="67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Ingestion → dual index → fusion → rerank → RAG → serving → observability, end to end</w:t>
            </w:r>
          </w:p>
        </w:tc>
      </w:tr>
      <w:tr>
        <w:tc>
          <w:tcPr>
            <w:tcW w:type="dxa" w:w="26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Bridged two eras</w:t>
            </w:r>
          </w:p>
        </w:tc>
        <w:tc>
          <w:tcPr>
            <w:tcW w:type="dxa" w:w="67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Fused mature BM25 IR with emerging vector search instead of betting on one</w:t>
            </w:r>
          </w:p>
        </w:tc>
      </w:tr>
      <w:tr>
        <w:tc>
          <w:tcPr>
            <w:tcW w:type="dxa" w:w="2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Measured everything</w:t>
            </w:r>
          </w:p>
        </w:tc>
        <w:tc>
          <w:tcPr>
            <w:tcW w:type="dxa" w:w="67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NDCG/MRR/MAP offline + search-success A/B online — the 14% and 21% are earned numbers</w:t>
            </w:r>
          </w:p>
        </w:tc>
      </w:tr>
      <w:tr>
        <w:tc>
          <w:tcPr>
            <w:tcW w:type="dxa" w:w="260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Timeline-honest</w:t>
            </w:r>
          </w:p>
        </w:tc>
        <w:tc>
          <w:tcPr>
            <w:tcW w:type="dxa" w:w="6760"/>
            <w:tcBorders>
              <w:top w:val="single" w:color="E2D6CE" w:sz="1"/>
              <w:left w:val="single" w:color="E2D6CE" w:sz="1"/>
              <w:bottom w:val="single" w:color="E2D6CE" w:sz="1"/>
              <w:right w:val="single" w:color="E2D6CE" w:sz="1"/>
            </w:tcBorders>
            <w:shd w:fill="F8F2EE" w:val="clear"/>
            <w:tcMar>
              <w:top w:type="dxa" w:w="80"/>
              <w:left w:type="dxa" w:w="120"/>
              <w:bottom w:type="dxa" w:w="80"/>
              <w:right w:type="dxa" w:w="120"/>
            </w:tcMar>
            <w:vAlign w:val="center"/>
          </w:tcPr>
          <w:p>
            <w:pPr>
              <w:spacing w:after="0" w:line="264"/>
            </w:pPr>
            <w:r>
              <w:rPr>
                <w:b w:val="false"/>
                <w:bCs w:val="false"/>
              </w:rPr>
              <w:t xml:space="preserve">Owns exactly when ada-002 and GPT-3.5-Turbo arrived — credibility, not back-dating</w:t>
            </w:r>
          </w:p>
        </w:tc>
      </w:tr>
      <w:tr>
        <w:tc>
          <w:tcPr>
            <w:tcW w:type="dxa" w:w="260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Foundation for what’s next</w:t>
            </w:r>
          </w:p>
        </w:tc>
        <w:tc>
          <w:tcPr>
            <w:tcW w:type="dxa" w:w="6760"/>
            <w:tcBorders>
              <w:top w:val="single" w:color="E2D6CE" w:sz="1"/>
              <w:left w:val="single" w:color="E2D6CE" w:sz="1"/>
              <w:bottom w:val="single" w:color="E2D6CE" w:sz="1"/>
              <w:right w:val="single" w:color="E2D6CE" w:sz="1"/>
            </w:tcBorders>
            <w:shd w:fill="FFFFFF" w:val="clear"/>
            <w:tcMar>
              <w:top w:type="dxa" w:w="80"/>
              <w:left w:type="dxa" w:w="120"/>
              <w:bottom w:type="dxa" w:w="80"/>
              <w:right w:type="dxa" w:w="120"/>
            </w:tcMar>
            <w:vAlign w:val="center"/>
          </w:tcPr>
          <w:p>
            <w:pPr>
              <w:spacing w:after="0" w:line="264"/>
            </w:pPr>
            <w:r>
              <w:rPr>
                <w:b w:val="false"/>
                <w:bCs w:val="false"/>
              </w:rPr>
              <w:t xml:space="preserve">The retrieval + RAG craft here is what scaled into regulated multi-agent systems</w:t>
            </w:r>
          </w:p>
        </w:tc>
      </w:tr>
    </w:tbl>
    <w:p>
      <w:pPr>
        <w:spacing w:after="80"/>
      </w:pPr>
      <w:r>
        <w:t xml:space="preserve"/>
      </w:r>
    </w:p>
    <w:tbl>
      <w:tblPr>
        <w:tblW w:type="dxa" w:w="9360"/>
        <w:tblBorders>
          <w:top w:val="single" w:color="FDF6F2" w:sz="1"/>
          <w:left w:val="single" w:color="4A5B6B" w:sz="24"/>
          <w:bottom w:val="single" w:color="FDF6F2" w:sz="1"/>
          <w:right w:val="single" w:color="FDF6F2" w:sz="1"/>
          <w:insideH w:val="single" w:color="auto" w:sz="4"/>
          <w:insideV w:val="single" w:color="auto" w:sz="4"/>
        </w:tblBorders>
      </w:tblPr>
      <w:tblGrid>
        <w:gridCol w:w="9360"/>
      </w:tblGrid>
      <w:tr>
        <w:tc>
          <w:tcPr>
            <w:tcW w:type="dxa" w:w="9360"/>
            <w:shd w:fill="FDF6F2" w:val="clear"/>
            <w:tcMar>
              <w:top w:type="dxa" w:w="120"/>
              <w:left w:type="dxa" w:w="200"/>
              <w:bottom w:type="dxa" w:w="120"/>
              <w:right w:type="dxa" w:w="200"/>
            </w:tcMar>
          </w:tcPr>
          <w:p>
            <w:pPr>
              <w:spacing w:after="60"/>
            </w:pPr>
            <w:r>
              <w:rPr>
                <w:b/>
                <w:bCs/>
                <w:color w:val="2E2E2E"/>
              </w:rPr>
              <w:t xml:space="preserve">The closing line</w:t>
            </w:r>
          </w:p>
          <w:p>
            <w:r>
              <w:t xml:space="preserve">“This is where I learned that retrieval quality is the whole game — RAG only works if what you feed it is right. I built the keyword foundation, fused it with semantic search, proved the lift with metrics, and added generation last, when it was ready. That discipline is exactly what I bring to harder, higher-stakes systems.”</w:t>
            </w:r>
          </w:p>
        </w:tc>
      </w:tr>
    </w:tbl>
    <w:p>
      <w:pPr>
        <w:pStyle w:val="Heading2"/>
      </w:pPr>
      <w:r>
        <w:t xml:space="preserve">Headline numbers to keep on the tip of your tongue</w:t>
      </w:r>
    </w:p>
    <w:p>
      <w:pPr>
        <w:pStyle w:val="ListParagraph"/>
        <w:numPr>
          <w:ilvl w:val="0"/>
          <w:numId w:val="2"/>
        </w:numPr>
        <w:spacing w:after="80" w:line="270"/>
      </w:pPr>
      <w:r>
        <w:rPr>
          <w:b/>
          <w:bCs/>
          <w:i w:val="false"/>
          <w:iCs w:val="false"/>
          <w:color w:val="C2410C"/>
        </w:rPr>
        <w:t xml:space="preserve">14% </w:t>
      </w:r>
      <w:r>
        <w:t xml:space="preserve">retrieval relevance uplift (from hybrid fusion + reranking)</w:t>
      </w:r>
    </w:p>
    <w:p>
      <w:pPr>
        <w:pStyle w:val="ListParagraph"/>
        <w:numPr>
          <w:ilvl w:val="0"/>
          <w:numId w:val="2"/>
        </w:numPr>
        <w:spacing w:after="80" w:line="270"/>
      </w:pPr>
      <w:r>
        <w:rPr>
          <w:b/>
          <w:bCs/>
          <w:i w:val="false"/>
          <w:iCs w:val="false"/>
          <w:color w:val="C2410C"/>
        </w:rPr>
        <w:t xml:space="preserve">21% </w:t>
      </w:r>
      <w:r>
        <w:t xml:space="preserve">search-success improvement</w:t>
      </w:r>
    </w:p>
    <w:p>
      <w:pPr>
        <w:pStyle w:val="ListParagraph"/>
        <w:numPr>
          <w:ilvl w:val="0"/>
          <w:numId w:val="2"/>
        </w:numPr>
        <w:spacing w:after="80" w:line="270"/>
      </w:pPr>
      <w:r>
        <w:rPr>
          <w:b/>
          <w:bCs/>
          <w:i w:val="false"/>
          <w:iCs w:val="false"/>
          <w:color w:val="C2410C"/>
        </w:rPr>
        <w:t xml:space="preserve">&lt; 900 ms </w:t>
      </w:r>
      <w:r>
        <w:t xml:space="preserve">p95 latency on hybrid retrieval</w:t>
      </w:r>
    </w:p>
    <w:p>
      <w:pPr>
        <w:pStyle w:val="ListParagraph"/>
        <w:numPr>
          <w:ilvl w:val="0"/>
          <w:numId w:val="2"/>
        </w:numPr>
        <w:spacing w:after="80" w:line="270"/>
      </w:pPr>
      <w:r>
        <w:rPr>
          <w:b/>
          <w:bCs/>
          <w:i w:val="false"/>
          <w:iCs w:val="false"/>
          <w:color w:val="C2410C"/>
        </w:rPr>
        <w:t xml:space="preserve">~1,200 </w:t>
      </w:r>
      <w:r>
        <w:t xml:space="preserve">documents ingested per week across 5 source types</w:t>
      </w:r>
    </w:p>
    <w:p>
      <w:pPr>
        <w:pStyle w:val="ListParagraph"/>
        <w:numPr>
          <w:ilvl w:val="0"/>
          <w:numId w:val="2"/>
        </w:numPr>
        <w:spacing w:after="80" w:line="270"/>
      </w:pPr>
      <w:r>
        <w:rPr>
          <w:b/>
          <w:bCs/>
          <w:i w:val="false"/>
          <w:iCs w:val="false"/>
          <w:color w:val="C2410C"/>
        </w:rPr>
        <w:t xml:space="preserve">BM25 → FAISS+RRF → GPT-3.5-Turbo RAG </w:t>
      </w:r>
      <w:r>
        <w:t xml:space="preserve">the three-phase arc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color w:val="5A5A5A"/>
        <w:sz w:val="16"/>
        <w:szCs w:val="16"/>
      </w:rPr>
      <w:t xml:space="preserve">Confidential — personal interview prep</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6CE" w:sz="4" w:space="2"/>
      </w:pBdr>
      <w:tabs>
        <w:tab w:val="right" w:pos="9026"/>
      </w:tabs>
      <w:spacing w:after="0"/>
    </w:pPr>
    <w:r>
      <w:rPr>
        <w:color w:val="5A5A5A"/>
        <w:sz w:val="16"/>
        <w:szCs w:val="16"/>
      </w:rPr>
      <w:t xml:space="preserve">Home Depot Search Platform</w:t>
    </w:r>
    <w:r>
      <w:rPr>
        <w:color w:val="5A5A5A"/>
        <w:sz w:val="16"/>
        <w:szCs w:val="16"/>
      </w:rPr>
      <w:t xml:space="preserve">	Interview Narrative &amp; Technical Master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410C" w:sz="6" w:space="4"/>
      </w:pBdr>
      <w:spacing w:after="200" w:before="320"/>
      <w:outlineLvl w:val="0"/>
    </w:pPr>
    <w:rPr>
      <w:rFonts w:ascii="Arial" w:cs="Arial" w:eastAsia="Arial" w:hAnsi="Arial"/>
      <w:b/>
      <w:bCs/>
      <w:color w:val="2E2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2410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A5B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Home Depot Search Platform — BM25 to Hybrid to RAG</dc:title>
  <dc:creator>Oswald</dc:creator>
  <cp:lastModifiedBy>Un-named</cp:lastModifiedBy>
  <cp:revision>1</cp:revision>
  <dcterms:created xsi:type="dcterms:W3CDTF">2026-06-02T15:03:02.538Z</dcterms:created>
  <dcterms:modified xsi:type="dcterms:W3CDTF">2026-06-02T15:03:02.538Z</dcterms:modified>
</cp:coreProperties>
</file>

<file path=docProps/custom.xml><?xml version="1.0" encoding="utf-8"?>
<Properties xmlns="http://schemas.openxmlformats.org/officeDocument/2006/custom-properties" xmlns:vt="http://schemas.openxmlformats.org/officeDocument/2006/docPropsVTypes"/>
</file>