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jc w:val="center"/>
      </w:pPr>
      <w:r>
        <w:rPr>
          <w:b/>
          <w:bCs/>
          <w:color w:val="1F3864"/>
          <w:sz w:val="56"/>
          <w:szCs w:val="56"/>
        </w:rPr>
        <w:t xml:space="preserve">The J&amp;J Multi-Agent Platform</w:t>
      </w:r>
    </w:p>
    <w:p>
      <w:pPr>
        <w:spacing w:after="0" w:before="120"/>
        <w:jc w:val="center"/>
      </w:pPr>
      <w:r>
        <w:rPr>
          <w:color w:val="2E75B6"/>
          <w:sz w:val="30"/>
          <w:szCs w:val="30"/>
        </w:rPr>
        <w:t xml:space="preserve">From Proof-of-Concept to MVP to Production</w:t>
      </w:r>
    </w:p>
    <w:p>
      <w:pPr>
        <w:spacing w:after="0" w:before="80"/>
        <w:jc w:val="center"/>
      </w:pPr>
      <w:r>
        <w:rPr>
          <w:i/>
          <w:iCs/>
          <w:color w:val="5A5A5A"/>
          <w:sz w:val="22"/>
          <w:szCs w:val="22"/>
        </w:rPr>
        <w:t xml:space="preserve">A Production GenAI System for Biomedical Science &amp; Drug Safety under FDA/EMA</w:t>
      </w:r>
    </w:p>
    <w:p>
      <w:pPr>
        <w:spacing w:after="400"/>
      </w:pPr>
      <w:r>
        <w:t xml:space="preserve"/>
      </w:r>
    </w:p>
    <w:p>
      <w:pPr>
        <w:pBdr>
          <w:bottom w:val="single" w:color="2E75B6" w:sz="6" w:space="1"/>
        </w:pBdr>
        <w:jc w:val="center"/>
      </w:pPr>
      <w:r>
        <w:t xml:space="preserve"/>
      </w:r>
    </w:p>
    <w:p>
      <w:pPr>
        <w:spacing w:after="200"/>
      </w:pPr>
      <w:r>
        <w:t xml:space="preserve"/>
      </w:r>
    </w:p>
    <w:p>
      <w:pPr>
        <w:spacing w:after="60"/>
        <w:jc w:val="center"/>
      </w:pPr>
      <w:r>
        <w:rPr>
          <w:b/>
          <w:bCs/>
          <w:color w:val="1F3864"/>
          <w:sz w:val="24"/>
          <w:szCs w:val="24"/>
        </w:rPr>
        <w:t xml:space="preserve">Interview Narrative &amp; Technical Master Reference</w:t>
      </w:r>
    </w:p>
    <w:p>
      <w:pPr>
        <w:spacing w:after="0"/>
        <w:jc w:val="center"/>
      </w:pPr>
      <w:r>
        <w:rPr>
          <w:color w:val="5A5A5A"/>
          <w:sz w:val="22"/>
          <w:szCs w:val="22"/>
        </w:rPr>
        <w:t xml:space="preserve">Oswald  •  Lead GenAI Engineer</w:t>
      </w:r>
    </w:p>
    <w:p>
      <w:r>
        <w:br w:type="page"/>
      </w:r>
    </w:p>
    <w:p>
      <w:pPr>
        <w:spacing w:after="160"/>
      </w:pPr>
      <w:r>
        <w:rPr>
          <w:b/>
          <w:bCs/>
          <w:color w:val="1F3864"/>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Elevator Pitch</w:t>
      </w:r>
    </w:p>
    <w:p>
      <w:pPr>
        <w:pStyle w:val="Heading2"/>
      </w:pPr>
      <w:r>
        <w:t xml:space="preserve">The 30-second version</w:t>
      </w:r>
    </w:p>
    <w:tbl>
      <w:tblPr>
        <w:tblW w:type="dxa" w:w="9360"/>
        <w:tblBorders>
          <w:top w:val="single" w:color="EAF1F8" w:sz="1"/>
          <w:left w:val="single" w:color="2E75B6" w:sz="24"/>
          <w:bottom w:val="single" w:color="EAF1F8" w:sz="1"/>
          <w:right w:val="single" w:color="EAF1F8" w:sz="1"/>
          <w:insideH w:val="single" w:color="auto" w:sz="4"/>
          <w:insideV w:val="single" w:color="auto" w:sz="4"/>
        </w:tblBorders>
      </w:tblPr>
      <w:tblGrid>
        <w:gridCol w:w="9360"/>
      </w:tblGrid>
      <w:tr>
        <w:tc>
          <w:tcPr>
            <w:tcW w:type="dxa" w:w="9360"/>
            <w:shd w:fill="EAF1F8" w:val="clear"/>
            <w:tcMar>
              <w:top w:type="dxa" w:w="120"/>
              <w:left w:type="dxa" w:w="200"/>
              <w:bottom w:type="dxa" w:w="120"/>
              <w:right w:type="dxa" w:w="200"/>
            </w:tcMar>
          </w:tcPr>
          <w:p>
            <w:pPr>
              <w:spacing w:after="60"/>
            </w:pPr>
            <w:r>
              <w:rPr>
                <w:b/>
                <w:bCs/>
                <w:color w:val="1F3864"/>
              </w:rPr>
              <w:t xml:space="preserve">Say this first</w:t>
            </w:r>
          </w:p>
          <w:p>
            <w:r>
              <w:t xml:space="preserve">“I build and own a production multi-agent LLM platform at Johnson &amp; Johnson that serves biomedical scientists and drug-safety teams under FDA/EMA regulation. It’s six agents — a GPT-4o orchestrator coordinating five specialists — running on Azure Kubernetes Service over 10,000-plus internal scientific documents. In production it cut research turnaround by 22%, reduced hallucination by roughly 18%, and sustains 120 concurrent sessions at p95 latency under 900 milliseconds. The hard part wasn’t the model; it was making it grounded, auditable, and trustworthy enough to ship in a regulated pharma environment.”</w:t>
            </w:r>
          </w:p>
        </w:tc>
      </w:tr>
    </w:tbl>
    <w:p>
      <w:pPr>
        <w:spacing w:after="80"/>
      </w:pPr>
      <w:r>
        <w:t xml:space="preserve"/>
      </w:r>
    </w:p>
    <w:p>
      <w:pPr>
        <w:pStyle w:val="Heading2"/>
      </w:pPr>
      <w:r>
        <w:t xml:space="preserve">The 90-second version</w:t>
      </w:r>
    </w:p>
    <w:p>
      <w:pPr>
        <w:spacing w:after="160" w:line="276"/>
      </w:pPr>
      <w:r>
        <w:rPr>
          <w:b w:val="false"/>
          <w:bCs w:val="false"/>
          <w:i w:val="false"/>
          <w:iCs w:val="false"/>
        </w:rPr>
        <w:t xml:space="preserve">Scientists and drug-safety analysts were spending hours manually searching and synthesizing across clinical study reports, safety labels, regulatory submissions, and the literature — work that was slow, inconsistent, and impossible to fully audit. I designed a platform where a large-language-model orchestrator interprets a query, plans the work, and dispatches it to specialist agents: Knowledge, Ontology, Drug Safety &amp; Compliance, Quality Assurance, and Summarization. Each agent retrieves from a grounded corpus and generates an answer that carries its citations with it.</w:t>
      </w:r>
    </w:p>
    <w:p>
      <w:pPr>
        <w:spacing w:after="160" w:line="276"/>
      </w:pPr>
      <w:r>
        <w:rPr>
          <w:b w:val="false"/>
          <w:bCs w:val="false"/>
          <w:i w:val="false"/>
          <w:iCs w:val="false"/>
        </w:rPr>
        <w:t xml:space="preserve">We did not build this in one shot. It went through three deliberate phases — a proof-of-concept that proved retrieval over our documents was viable, an MVP that moved everything onto the managed Azure stack and added structure, and a production system that added the multi-agent fabric, a regulated-grade evaluation program, and full audit traceability. The differentiator in my background is that I’ve now shipped production AI inside three regulated environments — actuarial governance at Aon, SR 11-7 banking model risk at Citibank, and FDA/EMA pharma at J&amp;J — so I treat governance and evaluation as first-class engineering, not an afterthought.</w:t>
      </w:r>
    </w:p>
    <w:p>
      <w:r>
        <w:br w:type="page"/>
      </w:r>
    </w:p>
    <w:p>
      <w:pPr>
        <w:pStyle w:val="Heading1"/>
      </w:pPr>
      <w:r>
        <w:t xml:space="preserve">2. Why I Was Hired</w:t>
      </w:r>
    </w:p>
    <w:p>
      <w:pPr>
        <w:spacing w:after="160" w:line="276"/>
      </w:pPr>
      <w:r>
        <w:rPr>
          <w:b w:val="false"/>
          <w:bCs w:val="false"/>
          <w:i w:val="false"/>
          <w:iCs w:val="false"/>
        </w:rPr>
        <w:t xml:space="preserve">J&amp;J did not need a model; foundation models were already available. What they needed was someone who could take generative AI from an exciting demo to a system that could be trusted by scientists and stood up to a regulator. That is a fundamentally different problem, and it is the problem I was brought in to own.</w:t>
      </w:r>
    </w:p>
    <w:p>
      <w:pPr>
        <w:pStyle w:val="Heading2"/>
      </w:pPr>
      <w:r>
        <w:t xml:space="preserve">The specific gap I was hired to close</w:t>
      </w:r>
    </w:p>
    <w:p>
      <w:pPr>
        <w:pStyle w:val="ListParagraph"/>
        <w:numPr>
          <w:ilvl w:val="0"/>
          <w:numId w:val="2"/>
        </w:numPr>
        <w:spacing w:after="80" w:line="270"/>
      </w:pPr>
      <w:r>
        <w:rPr>
          <w:b/>
          <w:bCs/>
          <w:i w:val="false"/>
          <w:iCs w:val="false"/>
        </w:rPr>
        <w:t xml:space="preserve">Domain stakes. </w:t>
      </w:r>
      <w:r>
        <w:t xml:space="preserve">Biomedical and pharmacovigilance work cannot tolerate confident-but-wrong answers. A missed contraindication or a mis-cited drug label is a real safety and regulatory exposure, not a UX inconvenience.</w:t>
      </w:r>
    </w:p>
    <w:p>
      <w:pPr>
        <w:pStyle w:val="ListParagraph"/>
        <w:numPr>
          <w:ilvl w:val="0"/>
          <w:numId w:val="2"/>
        </w:numPr>
        <w:spacing w:after="80" w:line="270"/>
      </w:pPr>
      <w:r>
        <w:rPr>
          <w:b/>
          <w:bCs/>
          <w:i w:val="false"/>
          <w:iCs w:val="false"/>
        </w:rPr>
        <w:t xml:space="preserve">Regulatory burden. </w:t>
      </w:r>
      <w:r>
        <w:t xml:space="preserve">Under FDA/EMA and GxP / 21 CFR Part 11 expectations, every output has to be explainable and reproducible — you must be able to reconstruct which model, which prompt, and which source documents produced any given answer.</w:t>
      </w:r>
    </w:p>
    <w:p>
      <w:pPr>
        <w:pStyle w:val="ListParagraph"/>
        <w:numPr>
          <w:ilvl w:val="0"/>
          <w:numId w:val="2"/>
        </w:numPr>
        <w:spacing w:after="80" w:line="270"/>
      </w:pPr>
      <w:r>
        <w:rPr>
          <w:b/>
          <w:bCs/>
          <w:i w:val="false"/>
          <w:iCs w:val="false"/>
        </w:rPr>
        <w:t xml:space="preserve">Production rigor. </w:t>
      </w:r>
      <w:r>
        <w:t xml:space="preserve">The organization needed someone who could run this at scale on enterprise Azure — containerized, observable, autoscaling, secured — not a notebook prototype.</w:t>
      </w:r>
    </w:p>
    <w:p>
      <w:pPr>
        <w:pStyle w:val="ListParagraph"/>
        <w:numPr>
          <w:ilvl w:val="0"/>
          <w:numId w:val="2"/>
        </w:numPr>
        <w:spacing w:after="80" w:line="270"/>
      </w:pPr>
      <w:r>
        <w:rPr>
          <w:b/>
          <w:bCs/>
          <w:i w:val="false"/>
          <w:iCs w:val="false"/>
        </w:rPr>
        <w:t xml:space="preserve">The scarce profile. </w:t>
      </w:r>
      <w:r>
        <w:t xml:space="preserve">Very few engineers have shipped multi-agent AI inside a regulated industry even once. My track record across Aon (actuarial governance), Citibank (banking model risk under SR 11-7), and now J&amp;J pharma meant I already thought in terms of validation, model risk, and auditability — the exact vocabulary this role lives in.</w:t>
      </w:r>
    </w:p>
    <w:tbl>
      <w:tblPr>
        <w:tblW w:type="dxa" w:w="9360"/>
        <w:tblBorders>
          <w:top w:val="single" w:color="F4F8FC" w:sz="1"/>
          <w:left w:val="single" w:color="2E8B8B" w:sz="24"/>
          <w:bottom w:val="single" w:color="F4F8FC" w:sz="1"/>
          <w:right w:val="single" w:color="F4F8FC" w:sz="1"/>
          <w:insideH w:val="single" w:color="auto" w:sz="4"/>
          <w:insideV w:val="single" w:color="auto" w:sz="4"/>
        </w:tblBorders>
      </w:tblPr>
      <w:tblGrid>
        <w:gridCol w:w="9360"/>
      </w:tblGrid>
      <w:tr>
        <w:tc>
          <w:tcPr>
            <w:tcW w:type="dxa" w:w="9360"/>
            <w:shd w:fill="F4F8FC" w:val="clear"/>
            <w:tcMar>
              <w:top w:type="dxa" w:w="120"/>
              <w:left w:type="dxa" w:w="200"/>
              <w:bottom w:type="dxa" w:w="120"/>
              <w:right w:type="dxa" w:w="200"/>
            </w:tcMar>
          </w:tcPr>
          <w:p>
            <w:pPr>
              <w:spacing w:after="60"/>
            </w:pPr>
            <w:r>
              <w:rPr>
                <w:b/>
                <w:bCs/>
                <w:color w:val="1F3864"/>
              </w:rPr>
              <w:t xml:space="preserve">How to frame it in the room</w:t>
            </w:r>
          </w:p>
          <w:p>
            <w:r>
              <w:t xml:space="preserve">“They hired me because the bottleneck was never the model — it was trust. My whole career has been building data and AI systems where being wrong has consequences and where you have to prove you were right. That’s why I fit: I bring the regulated-industry instincts and the production engineering in the same person.”</w:t>
            </w:r>
          </w:p>
        </w:tc>
      </w:tr>
    </w:tbl>
    <w:p>
      <w:r>
        <w:br w:type="page"/>
      </w:r>
    </w:p>
    <w:p>
      <w:pPr>
        <w:pStyle w:val="Heading1"/>
      </w:pPr>
      <w:r>
        <w:t xml:space="preserve">3. Problem Statement</w:t>
      </w:r>
    </w:p>
    <w:p>
      <w:pPr>
        <w:spacing w:after="160" w:line="276"/>
      </w:pPr>
      <w:r>
        <w:rPr>
          <w:b w:val="false"/>
          <w:bCs w:val="false"/>
          <w:i w:val="false"/>
          <w:iCs w:val="false"/>
        </w:rPr>
        <w:t xml:space="preserve">Biomedical scientists and drug-safety teams at J&amp;J had to reason across a large, fragmented body of internal scientific content — clinical study reports (CSRs), periodic safety update reports (PSURs), FAERS-style adverse-event data, regulatory submissions, labels, and the broader literature. The core problems were:</w:t>
      </w:r>
    </w:p>
    <w:p>
      <w:pPr>
        <w:pStyle w:val="ListParagraph"/>
        <w:numPr>
          <w:ilvl w:val="0"/>
          <w:numId w:val="2"/>
        </w:numPr>
        <w:spacing w:after="80" w:line="270"/>
      </w:pPr>
      <w:r>
        <w:rPr>
          <w:b/>
          <w:bCs/>
          <w:i w:val="false"/>
          <w:iCs w:val="false"/>
        </w:rPr>
        <w:t xml:space="preserve">Slow synthesis. </w:t>
      </w:r>
      <w:r>
        <w:t xml:space="preserve">Answering a single safety or research question meant manually locating and reading across many long documents — hours of expert time per question.</w:t>
      </w:r>
    </w:p>
    <w:p>
      <w:pPr>
        <w:pStyle w:val="ListParagraph"/>
        <w:numPr>
          <w:ilvl w:val="0"/>
          <w:numId w:val="2"/>
        </w:numPr>
        <w:spacing w:after="80" w:line="270"/>
      </w:pPr>
      <w:r>
        <w:rPr>
          <w:b/>
          <w:bCs/>
          <w:i w:val="false"/>
          <w:iCs w:val="false"/>
        </w:rPr>
        <w:t xml:space="preserve">Inconsistency. </w:t>
      </w:r>
      <w:r>
        <w:t xml:space="preserve">Two analysts answering the same question could surface different sources and reach different conclusions, with no systematic way to reconcile them.</w:t>
      </w:r>
    </w:p>
    <w:p>
      <w:pPr>
        <w:pStyle w:val="ListParagraph"/>
        <w:numPr>
          <w:ilvl w:val="0"/>
          <w:numId w:val="2"/>
        </w:numPr>
        <w:spacing w:after="80" w:line="270"/>
      </w:pPr>
      <w:r>
        <w:rPr>
          <w:b/>
          <w:bCs/>
          <w:i w:val="false"/>
          <w:iCs w:val="false"/>
        </w:rPr>
        <w:t xml:space="preserve">No grounding guarantee. </w:t>
      </w:r>
      <w:r>
        <w:t xml:space="preserve">A naive LLM would happily fabricate a plausible-sounding contraindication or citation — unacceptable in pharmacovigilance.</w:t>
      </w:r>
    </w:p>
    <w:p>
      <w:pPr>
        <w:pStyle w:val="ListParagraph"/>
        <w:numPr>
          <w:ilvl w:val="0"/>
          <w:numId w:val="2"/>
        </w:numPr>
        <w:spacing w:after="80" w:line="270"/>
      </w:pPr>
      <w:r>
        <w:rPr>
          <w:b/>
          <w:bCs/>
          <w:i w:val="false"/>
          <w:iCs w:val="false"/>
        </w:rPr>
        <w:t xml:space="preserve">No audit trail. </w:t>
      </w:r>
      <w:r>
        <w:t xml:space="preserve">There was no way to reconstruct, after the fact, how an answer was produced — which is a non-starter under FDA/EMA.</w:t>
      </w:r>
    </w:p>
    <w:p>
      <w:pPr>
        <w:pStyle w:val="Heading2"/>
      </w:pPr>
      <w:r>
        <w:t xml:space="preserve">The problem stated as one sentence</w:t>
      </w:r>
    </w:p>
    <w:tbl>
      <w:tblPr>
        <w:tblW w:type="dxa" w:w="9360"/>
        <w:tblBorders>
          <w:top w:val="single" w:color="EAF1F8" w:sz="1"/>
          <w:left w:val="single" w:color="2E75B6" w:sz="24"/>
          <w:bottom w:val="single" w:color="EAF1F8" w:sz="1"/>
          <w:right w:val="single" w:color="EAF1F8" w:sz="1"/>
          <w:insideH w:val="single" w:color="auto" w:sz="4"/>
          <w:insideV w:val="single" w:color="auto" w:sz="4"/>
        </w:tblBorders>
      </w:tblPr>
      <w:tblGrid>
        <w:gridCol w:w="9360"/>
      </w:tblGrid>
      <w:tr>
        <w:tc>
          <w:tcPr>
            <w:tcW w:type="dxa" w:w="9360"/>
            <w:shd w:fill="EAF1F8" w:val="clear"/>
            <w:tcMar>
              <w:top w:type="dxa" w:w="120"/>
              <w:left w:type="dxa" w:w="200"/>
              <w:bottom w:type="dxa" w:w="120"/>
              <w:right w:type="dxa" w:w="200"/>
            </w:tcMar>
          </w:tcPr>
          <w:p>
            <w:pPr>
              <w:spacing w:after="60"/>
            </w:pPr>
            <w:r>
              <w:rPr>
                <w:b/>
                <w:bCs/>
                <w:color w:val="1F3864"/>
              </w:rPr>
              <w:t xml:space="preserve">Problem statement</w:t>
            </w:r>
          </w:p>
          <w:p>
            <w:r>
              <w:t xml:space="preserve">Give scientific and drug-safety experts fast, consistent answers across 10,000-plus internal documents, where every answer is grounded in real sources, every claim is traceable, and the whole system is auditable and reproducible to a regulator’s standard.</w:t>
            </w:r>
          </w:p>
        </w:tc>
      </w:tr>
    </w:tbl>
    <w:p>
      <w:pPr>
        <w:pStyle w:val="Heading2"/>
      </w:pPr>
      <w:r>
        <w:t xml:space="preserve">Success criteria we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9D6E5" w:sz="1"/>
              <w:left w:val="single" w:color="C9D6E5" w:sz="1"/>
              <w:bottom w:val="single" w:color="C9D6E5" w:sz="1"/>
              <w:right w:val="single" w:color="C9D6E5" w:sz="1"/>
            </w:tcBorders>
            <w:shd w:fill="1F3864" w:val="clear"/>
            <w:tcMar>
              <w:top w:type="dxa" w:w="80"/>
              <w:left w:type="dxa" w:w="120"/>
              <w:bottom w:type="dxa" w:w="80"/>
              <w:right w:type="dxa" w:w="120"/>
            </w:tcMar>
            <w:vAlign w:val="center"/>
          </w:tcPr>
          <w:p>
            <w:pPr>
              <w:spacing w:after="0" w:line="264"/>
            </w:pPr>
            <w:r>
              <w:rPr>
                <w:b/>
                <w:bCs/>
                <w:color w:val="FFFFFF"/>
              </w:rPr>
              <w:t xml:space="preserve">Dimension</w:t>
            </w:r>
          </w:p>
        </w:tc>
        <w:tc>
          <w:tcPr>
            <w:tcW w:type="dxa" w:w="3120"/>
            <w:tcBorders>
              <w:top w:val="single" w:color="C9D6E5" w:sz="1"/>
              <w:left w:val="single" w:color="C9D6E5" w:sz="1"/>
              <w:bottom w:val="single" w:color="C9D6E5" w:sz="1"/>
              <w:right w:val="single" w:color="C9D6E5" w:sz="1"/>
            </w:tcBorders>
            <w:shd w:fill="1F3864" w:val="clear"/>
            <w:tcMar>
              <w:top w:type="dxa" w:w="80"/>
              <w:left w:type="dxa" w:w="120"/>
              <w:bottom w:type="dxa" w:w="80"/>
              <w:right w:type="dxa" w:w="120"/>
            </w:tcMar>
            <w:vAlign w:val="center"/>
          </w:tcPr>
          <w:p>
            <w:pPr>
              <w:spacing w:after="0" w:line="264"/>
            </w:pPr>
            <w:r>
              <w:rPr>
                <w:b/>
                <w:bCs/>
                <w:color w:val="FFFFFF"/>
              </w:rPr>
              <w:t xml:space="preserve">What we targeted</w:t>
            </w:r>
          </w:p>
        </w:tc>
        <w:tc>
          <w:tcPr>
            <w:tcW w:type="dxa" w:w="3120"/>
            <w:tcBorders>
              <w:top w:val="single" w:color="C9D6E5" w:sz="1"/>
              <w:left w:val="single" w:color="C9D6E5" w:sz="1"/>
              <w:bottom w:val="single" w:color="C9D6E5" w:sz="1"/>
              <w:right w:val="single" w:color="C9D6E5" w:sz="1"/>
            </w:tcBorders>
            <w:shd w:fill="1F3864" w:val="clear"/>
            <w:tcMar>
              <w:top w:type="dxa" w:w="80"/>
              <w:left w:type="dxa" w:w="120"/>
              <w:bottom w:type="dxa" w:w="80"/>
              <w:right w:type="dxa" w:w="120"/>
            </w:tcMar>
            <w:vAlign w:val="center"/>
          </w:tcPr>
          <w:p>
            <w:pPr>
              <w:spacing w:after="0" w:line="264"/>
            </w:pPr>
            <w:r>
              <w:rPr>
                <w:b/>
                <w:bCs/>
                <w:color w:val="FFFFFF"/>
              </w:rPr>
              <w:t xml:space="preserve">What we achieved</w:t>
            </w:r>
          </w:p>
        </w:tc>
      </w:tr>
      <w:tr>
        <w:tc>
          <w:tcPr>
            <w:tcW w:type="dxa" w:w="3120"/>
            <w:tcBorders>
              <w:top w:val="single" w:color="C9D6E5" w:sz="1"/>
              <w:left w:val="single" w:color="C9D6E5" w:sz="1"/>
              <w:bottom w:val="single" w:color="C9D6E5" w:sz="1"/>
              <w:right w:val="single" w:color="C9D6E5" w:sz="1"/>
            </w:tcBorders>
            <w:shd w:fill="FFFFFF" w:val="clear"/>
            <w:tcMar>
              <w:top w:type="dxa" w:w="80"/>
              <w:left w:type="dxa" w:w="120"/>
              <w:bottom w:type="dxa" w:w="80"/>
              <w:right w:type="dxa" w:w="120"/>
            </w:tcMar>
            <w:vAlign w:val="center"/>
          </w:tcPr>
          <w:p>
            <w:pPr>
              <w:spacing w:after="0" w:line="264"/>
            </w:pPr>
            <w:r>
              <w:rPr>
                <w:b w:val="false"/>
                <w:bCs w:val="false"/>
              </w:rPr>
              <w:t xml:space="preserve">Turnaround</w:t>
            </w:r>
          </w:p>
        </w:tc>
        <w:tc>
          <w:tcPr>
            <w:tcW w:type="dxa" w:w="3120"/>
            <w:tcBorders>
              <w:top w:val="single" w:color="C9D6E5" w:sz="1"/>
              <w:left w:val="single" w:color="C9D6E5" w:sz="1"/>
              <w:bottom w:val="single" w:color="C9D6E5" w:sz="1"/>
              <w:right w:val="single" w:color="C9D6E5" w:sz="1"/>
            </w:tcBorders>
            <w:shd w:fill="FFFFFF" w:val="clear"/>
            <w:tcMar>
              <w:top w:type="dxa" w:w="80"/>
              <w:left w:type="dxa" w:w="120"/>
              <w:bottom w:type="dxa" w:w="80"/>
              <w:right w:type="dxa" w:w="120"/>
            </w:tcMar>
            <w:vAlign w:val="center"/>
          </w:tcPr>
          <w:p>
            <w:pPr>
              <w:spacing w:after="0" w:line="264"/>
            </w:pPr>
            <w:r>
              <w:rPr>
                <w:b w:val="false"/>
                <w:bCs w:val="false"/>
              </w:rPr>
              <w:t xml:space="preserve">Materially faster research/safety review</w:t>
            </w:r>
          </w:p>
        </w:tc>
        <w:tc>
          <w:tcPr>
            <w:tcW w:type="dxa" w:w="3120"/>
            <w:tcBorders>
              <w:top w:val="single" w:color="C9D6E5" w:sz="1"/>
              <w:left w:val="single" w:color="C9D6E5" w:sz="1"/>
              <w:bottom w:val="single" w:color="C9D6E5" w:sz="1"/>
              <w:right w:val="single" w:color="C9D6E5" w:sz="1"/>
            </w:tcBorders>
            <w:shd w:fill="FFFFFF" w:val="clear"/>
            <w:tcMar>
              <w:top w:type="dxa" w:w="80"/>
              <w:left w:type="dxa" w:w="120"/>
              <w:bottom w:type="dxa" w:w="80"/>
              <w:right w:type="dxa" w:w="120"/>
            </w:tcMar>
            <w:vAlign w:val="center"/>
          </w:tcPr>
          <w:p>
            <w:pPr>
              <w:spacing w:after="0" w:line="264"/>
            </w:pPr>
            <w:r>
              <w:rPr>
                <w:b w:val="false"/>
                <w:bCs w:val="false"/>
              </w:rPr>
              <w:t xml:space="preserve">22% improvement</w:t>
            </w:r>
          </w:p>
        </w:tc>
      </w:tr>
      <w:tr>
        <w:tc>
          <w:tcPr>
            <w:tcW w:type="dxa" w:w="3120"/>
            <w:tcBorders>
              <w:top w:val="single" w:color="C9D6E5" w:sz="1"/>
              <w:left w:val="single" w:color="C9D6E5" w:sz="1"/>
              <w:bottom w:val="single" w:color="C9D6E5" w:sz="1"/>
              <w:right w:val="single" w:color="C9D6E5" w:sz="1"/>
            </w:tcBorders>
            <w:shd w:fill="F2F6FB" w:val="clear"/>
            <w:tcMar>
              <w:top w:type="dxa" w:w="80"/>
              <w:left w:type="dxa" w:w="120"/>
              <w:bottom w:type="dxa" w:w="80"/>
              <w:right w:type="dxa" w:w="120"/>
            </w:tcMar>
            <w:vAlign w:val="center"/>
          </w:tcPr>
          <w:p>
            <w:pPr>
              <w:spacing w:after="0" w:line="264"/>
            </w:pPr>
            <w:r>
              <w:rPr>
                <w:b w:val="false"/>
                <w:bCs w:val="false"/>
              </w:rPr>
              <w:t xml:space="preserve">Trust / accuracy</w:t>
            </w:r>
          </w:p>
        </w:tc>
        <w:tc>
          <w:tcPr>
            <w:tcW w:type="dxa" w:w="3120"/>
            <w:tcBorders>
              <w:top w:val="single" w:color="C9D6E5" w:sz="1"/>
              <w:left w:val="single" w:color="C9D6E5" w:sz="1"/>
              <w:bottom w:val="single" w:color="C9D6E5" w:sz="1"/>
              <w:right w:val="single" w:color="C9D6E5" w:sz="1"/>
            </w:tcBorders>
            <w:shd w:fill="F2F6FB" w:val="clear"/>
            <w:tcMar>
              <w:top w:type="dxa" w:w="80"/>
              <w:left w:type="dxa" w:w="120"/>
              <w:bottom w:type="dxa" w:w="80"/>
              <w:right w:type="dxa" w:w="120"/>
            </w:tcMar>
            <w:vAlign w:val="center"/>
          </w:tcPr>
          <w:p>
            <w:pPr>
              <w:spacing w:after="0" w:line="264"/>
            </w:pPr>
            <w:r>
              <w:rPr>
                <w:b w:val="false"/>
                <w:bCs w:val="false"/>
              </w:rPr>
              <w:t xml:space="preserve">Fewer ungrounded or fabricated claims</w:t>
            </w:r>
          </w:p>
        </w:tc>
        <w:tc>
          <w:tcPr>
            <w:tcW w:type="dxa" w:w="3120"/>
            <w:tcBorders>
              <w:top w:val="single" w:color="C9D6E5" w:sz="1"/>
              <w:left w:val="single" w:color="C9D6E5" w:sz="1"/>
              <w:bottom w:val="single" w:color="C9D6E5" w:sz="1"/>
              <w:right w:val="single" w:color="C9D6E5" w:sz="1"/>
            </w:tcBorders>
            <w:shd w:fill="F2F6FB" w:val="clear"/>
            <w:tcMar>
              <w:top w:type="dxa" w:w="80"/>
              <w:left w:type="dxa" w:w="120"/>
              <w:bottom w:type="dxa" w:w="80"/>
              <w:right w:type="dxa" w:w="120"/>
            </w:tcMar>
            <w:vAlign w:val="center"/>
          </w:tcPr>
          <w:p>
            <w:pPr>
              <w:spacing w:after="0" w:line="264"/>
            </w:pPr>
            <w:r>
              <w:rPr>
                <w:b w:val="false"/>
                <w:bCs w:val="false"/>
              </w:rPr>
              <w:t xml:space="preserve">~18% hallucination reduction</w:t>
            </w:r>
          </w:p>
        </w:tc>
      </w:tr>
      <w:tr>
        <w:tc>
          <w:tcPr>
            <w:tcW w:type="dxa" w:w="3120"/>
            <w:tcBorders>
              <w:top w:val="single" w:color="C9D6E5" w:sz="1"/>
              <w:left w:val="single" w:color="C9D6E5" w:sz="1"/>
              <w:bottom w:val="single" w:color="C9D6E5" w:sz="1"/>
              <w:right w:val="single" w:color="C9D6E5" w:sz="1"/>
            </w:tcBorders>
            <w:shd w:fill="FFFFFF" w:val="clear"/>
            <w:tcMar>
              <w:top w:type="dxa" w:w="80"/>
              <w:left w:type="dxa" w:w="120"/>
              <w:bottom w:type="dxa" w:w="80"/>
              <w:right w:type="dxa" w:w="120"/>
            </w:tcMar>
            <w:vAlign w:val="center"/>
          </w:tcPr>
          <w:p>
            <w:pPr>
              <w:spacing w:after="0" w:line="264"/>
            </w:pPr>
            <w:r>
              <w:rPr>
                <w:b w:val="false"/>
                <w:bCs w:val="false"/>
              </w:rPr>
              <w:t xml:space="preserve">Scale</w:t>
            </w:r>
          </w:p>
        </w:tc>
        <w:tc>
          <w:tcPr>
            <w:tcW w:type="dxa" w:w="3120"/>
            <w:tcBorders>
              <w:top w:val="single" w:color="C9D6E5" w:sz="1"/>
              <w:left w:val="single" w:color="C9D6E5" w:sz="1"/>
              <w:bottom w:val="single" w:color="C9D6E5" w:sz="1"/>
              <w:right w:val="single" w:color="C9D6E5" w:sz="1"/>
            </w:tcBorders>
            <w:shd w:fill="FFFFFF" w:val="clear"/>
            <w:tcMar>
              <w:top w:type="dxa" w:w="80"/>
              <w:left w:type="dxa" w:w="120"/>
              <w:bottom w:type="dxa" w:w="80"/>
              <w:right w:type="dxa" w:w="120"/>
            </w:tcMar>
            <w:vAlign w:val="center"/>
          </w:tcPr>
          <w:p>
            <w:pPr>
              <w:spacing w:after="0" w:line="264"/>
            </w:pPr>
            <w:r>
              <w:rPr>
                <w:b w:val="false"/>
                <w:bCs w:val="false"/>
              </w:rPr>
              <w:t xml:space="preserve">Serve many concurrent expert users</w:t>
            </w:r>
          </w:p>
        </w:tc>
        <w:tc>
          <w:tcPr>
            <w:tcW w:type="dxa" w:w="3120"/>
            <w:tcBorders>
              <w:top w:val="single" w:color="C9D6E5" w:sz="1"/>
              <w:left w:val="single" w:color="C9D6E5" w:sz="1"/>
              <w:bottom w:val="single" w:color="C9D6E5" w:sz="1"/>
              <w:right w:val="single" w:color="C9D6E5" w:sz="1"/>
            </w:tcBorders>
            <w:shd w:fill="FFFFFF" w:val="clear"/>
            <w:tcMar>
              <w:top w:type="dxa" w:w="80"/>
              <w:left w:type="dxa" w:w="120"/>
              <w:bottom w:type="dxa" w:w="80"/>
              <w:right w:type="dxa" w:w="120"/>
            </w:tcMar>
            <w:vAlign w:val="center"/>
          </w:tcPr>
          <w:p>
            <w:pPr>
              <w:spacing w:after="0" w:line="264"/>
            </w:pPr>
            <w:r>
              <w:rPr>
                <w:b w:val="false"/>
                <w:bCs w:val="false"/>
              </w:rPr>
              <w:t xml:space="preserve">120 concurrent AKS sessions</w:t>
            </w:r>
          </w:p>
        </w:tc>
      </w:tr>
      <w:tr>
        <w:tc>
          <w:tcPr>
            <w:tcW w:type="dxa" w:w="3120"/>
            <w:tcBorders>
              <w:top w:val="single" w:color="C9D6E5" w:sz="1"/>
              <w:left w:val="single" w:color="C9D6E5" w:sz="1"/>
              <w:bottom w:val="single" w:color="C9D6E5" w:sz="1"/>
              <w:right w:val="single" w:color="C9D6E5" w:sz="1"/>
            </w:tcBorders>
            <w:shd w:fill="F2F6FB" w:val="clear"/>
            <w:tcMar>
              <w:top w:type="dxa" w:w="80"/>
              <w:left w:type="dxa" w:w="120"/>
              <w:bottom w:type="dxa" w:w="80"/>
              <w:right w:type="dxa" w:w="120"/>
            </w:tcMar>
            <w:vAlign w:val="center"/>
          </w:tcPr>
          <w:p>
            <w:pPr>
              <w:spacing w:after="0" w:line="264"/>
            </w:pPr>
            <w:r>
              <w:rPr>
                <w:b w:val="false"/>
                <w:bCs w:val="false"/>
              </w:rPr>
              <w:t xml:space="preserve">Responsiveness</w:t>
            </w:r>
          </w:p>
        </w:tc>
        <w:tc>
          <w:tcPr>
            <w:tcW w:type="dxa" w:w="3120"/>
            <w:tcBorders>
              <w:top w:val="single" w:color="C9D6E5" w:sz="1"/>
              <w:left w:val="single" w:color="C9D6E5" w:sz="1"/>
              <w:bottom w:val="single" w:color="C9D6E5" w:sz="1"/>
              <w:right w:val="single" w:color="C9D6E5" w:sz="1"/>
            </w:tcBorders>
            <w:shd w:fill="F2F6FB" w:val="clear"/>
            <w:tcMar>
              <w:top w:type="dxa" w:w="80"/>
              <w:left w:type="dxa" w:w="120"/>
              <w:bottom w:type="dxa" w:w="80"/>
              <w:right w:type="dxa" w:w="120"/>
            </w:tcMar>
            <w:vAlign w:val="center"/>
          </w:tcPr>
          <w:p>
            <w:pPr>
              <w:spacing w:after="0" w:line="264"/>
            </w:pPr>
            <w:r>
              <w:rPr>
                <w:b w:val="false"/>
                <w:bCs w:val="false"/>
              </w:rPr>
              <w:t xml:space="preserve">Interactive latency</w:t>
            </w:r>
          </w:p>
        </w:tc>
        <w:tc>
          <w:tcPr>
            <w:tcW w:type="dxa" w:w="3120"/>
            <w:tcBorders>
              <w:top w:val="single" w:color="C9D6E5" w:sz="1"/>
              <w:left w:val="single" w:color="C9D6E5" w:sz="1"/>
              <w:bottom w:val="single" w:color="C9D6E5" w:sz="1"/>
              <w:right w:val="single" w:color="C9D6E5" w:sz="1"/>
            </w:tcBorders>
            <w:shd w:fill="F2F6FB" w:val="clear"/>
            <w:tcMar>
              <w:top w:type="dxa" w:w="80"/>
              <w:left w:type="dxa" w:w="120"/>
              <w:bottom w:type="dxa" w:w="80"/>
              <w:right w:type="dxa" w:w="120"/>
            </w:tcMar>
            <w:vAlign w:val="center"/>
          </w:tcPr>
          <w:p>
            <w:pPr>
              <w:spacing w:after="0" w:line="264"/>
            </w:pPr>
            <w:r>
              <w:rPr>
                <w:b w:val="false"/>
                <w:bCs w:val="false"/>
              </w:rPr>
              <w:t xml:space="preserve">p95 &lt; 900 ms</w:t>
            </w:r>
          </w:p>
        </w:tc>
      </w:tr>
      <w:tr>
        <w:tc>
          <w:tcPr>
            <w:tcW w:type="dxa" w:w="3120"/>
            <w:tcBorders>
              <w:top w:val="single" w:color="C9D6E5" w:sz="1"/>
              <w:left w:val="single" w:color="C9D6E5" w:sz="1"/>
              <w:bottom w:val="single" w:color="C9D6E5" w:sz="1"/>
              <w:right w:val="single" w:color="C9D6E5" w:sz="1"/>
            </w:tcBorders>
            <w:shd w:fill="FFFFFF" w:val="clear"/>
            <w:tcMar>
              <w:top w:type="dxa" w:w="80"/>
              <w:left w:type="dxa" w:w="120"/>
              <w:bottom w:type="dxa" w:w="80"/>
              <w:right w:type="dxa" w:w="120"/>
            </w:tcMar>
            <w:vAlign w:val="center"/>
          </w:tcPr>
          <w:p>
            <w:pPr>
              <w:spacing w:after="0" w:line="264"/>
            </w:pPr>
            <w:r>
              <w:rPr>
                <w:b w:val="false"/>
                <w:bCs w:val="false"/>
              </w:rPr>
              <w:t xml:space="preserve">Auditability</w:t>
            </w:r>
          </w:p>
        </w:tc>
        <w:tc>
          <w:tcPr>
            <w:tcW w:type="dxa" w:w="3120"/>
            <w:tcBorders>
              <w:top w:val="single" w:color="C9D6E5" w:sz="1"/>
              <w:left w:val="single" w:color="C9D6E5" w:sz="1"/>
              <w:bottom w:val="single" w:color="C9D6E5" w:sz="1"/>
              <w:right w:val="single" w:color="C9D6E5" w:sz="1"/>
            </w:tcBorders>
            <w:shd w:fill="FFFFFF" w:val="clear"/>
            <w:tcMar>
              <w:top w:type="dxa" w:w="80"/>
              <w:left w:type="dxa" w:w="120"/>
              <w:bottom w:type="dxa" w:w="80"/>
              <w:right w:type="dxa" w:w="120"/>
            </w:tcMar>
            <w:vAlign w:val="center"/>
          </w:tcPr>
          <w:p>
            <w:pPr>
              <w:spacing w:after="0" w:line="264"/>
            </w:pPr>
            <w:r>
              <w:rPr>
                <w:b w:val="false"/>
                <w:bCs w:val="false"/>
              </w:rPr>
              <w:t xml:space="preserve">Reconstruct any answer end-to-end</w:t>
            </w:r>
          </w:p>
        </w:tc>
        <w:tc>
          <w:tcPr>
            <w:tcW w:type="dxa" w:w="3120"/>
            <w:tcBorders>
              <w:top w:val="single" w:color="C9D6E5" w:sz="1"/>
              <w:left w:val="single" w:color="C9D6E5" w:sz="1"/>
              <w:bottom w:val="single" w:color="C9D6E5" w:sz="1"/>
              <w:right w:val="single" w:color="C9D6E5" w:sz="1"/>
            </w:tcBorders>
            <w:shd w:fill="FFFFFF" w:val="clear"/>
            <w:tcMar>
              <w:top w:type="dxa" w:w="80"/>
              <w:left w:type="dxa" w:w="120"/>
              <w:bottom w:type="dxa" w:w="80"/>
              <w:right w:type="dxa" w:w="120"/>
            </w:tcMar>
            <w:vAlign w:val="center"/>
          </w:tcPr>
          <w:p>
            <w:pPr>
              <w:spacing w:after="0" w:line="264"/>
            </w:pPr>
            <w:r>
              <w:rPr>
                <w:b w:val="false"/>
                <w:bCs w:val="false"/>
              </w:rPr>
              <w:t xml:space="preserve">Full trace → Cosmos DB audit log</w:t>
            </w:r>
          </w:p>
        </w:tc>
      </w:tr>
    </w:tbl>
    <w:p>
      <w:r>
        <w:br w:type="page"/>
      </w:r>
    </w:p>
    <w:p>
      <w:pPr>
        <w:pStyle w:val="Heading1"/>
      </w:pPr>
      <w:r>
        <w:t xml:space="preserve">4. The Solution — PoC → MVP → Production</w:t>
      </w:r>
    </w:p>
    <w:p>
      <w:pPr>
        <w:spacing w:after="160" w:line="276"/>
      </w:pPr>
      <w:r>
        <w:rPr>
          <w:b w:val="false"/>
          <w:bCs w:val="false"/>
          <w:i w:val="false"/>
          <w:iCs w:val="false"/>
        </w:rPr>
        <w:t xml:space="preserve">The platform was delivered in three deliberate phases. Each phase solved a specific class of problem and, just as importantly, surfaced the next one. Framing the journey this way in an interview shows you understand that production systems earn their complexity — they don’t start there.</w:t>
      </w:r>
    </w:p>
    <w:p>
      <w:pPr>
        <w:pStyle w:val="Heading2"/>
      </w:pPr>
      <w:r>
        <w:t xml:space="preserve">Phase overview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620"/>
        <w:gridCol w:w="2620"/>
        <w:gridCol w:w="2620"/>
      </w:tblGrid>
      <w:tr>
        <w:trPr>
          <w:tblHeader/>
        </w:trPr>
        <w:tc>
          <w:tcPr>
            <w:tcW w:type="dxa" w:w="1500"/>
            <w:tcBorders>
              <w:top w:val="single" w:color="C9D6E5" w:sz="1"/>
              <w:left w:val="single" w:color="C9D6E5" w:sz="1"/>
              <w:bottom w:val="single" w:color="C9D6E5" w:sz="1"/>
              <w:right w:val="single" w:color="C9D6E5" w:sz="1"/>
            </w:tcBorders>
            <w:shd w:fill="1F3864" w:val="clear"/>
            <w:tcMar>
              <w:top w:type="dxa" w:w="80"/>
              <w:left w:type="dxa" w:w="120"/>
              <w:bottom w:type="dxa" w:w="80"/>
              <w:right w:type="dxa" w:w="120"/>
            </w:tcMar>
            <w:vAlign w:val="center"/>
          </w:tcPr>
          <w:p>
            <w:pPr>
              <w:spacing w:after="0" w:line="264"/>
            </w:pPr>
            <w:r>
              <w:rPr>
                <w:b/>
                <w:bCs/>
                <w:color w:val="FFFFFF"/>
              </w:rPr>
              <w:t xml:space="preserve"/>
            </w:r>
          </w:p>
        </w:tc>
        <w:tc>
          <w:tcPr>
            <w:tcW w:type="dxa" w:w="2620"/>
            <w:tcBorders>
              <w:top w:val="single" w:color="C9D6E5" w:sz="1"/>
              <w:left w:val="single" w:color="C9D6E5" w:sz="1"/>
              <w:bottom w:val="single" w:color="C9D6E5" w:sz="1"/>
              <w:right w:val="single" w:color="C9D6E5" w:sz="1"/>
            </w:tcBorders>
            <w:shd w:fill="1F3864" w:val="clear"/>
            <w:tcMar>
              <w:top w:type="dxa" w:w="80"/>
              <w:left w:type="dxa" w:w="120"/>
              <w:bottom w:type="dxa" w:w="80"/>
              <w:right w:type="dxa" w:w="120"/>
            </w:tcMar>
            <w:vAlign w:val="center"/>
          </w:tcPr>
          <w:p>
            <w:pPr>
              <w:spacing w:after="0" w:line="264"/>
            </w:pPr>
            <w:r>
              <w:rPr>
                <w:b/>
                <w:bCs/>
                <w:color w:val="FFFFFF"/>
              </w:rPr>
              <w:t xml:space="preserve">Phase 01 — PoC</w:t>
            </w:r>
          </w:p>
        </w:tc>
        <w:tc>
          <w:tcPr>
            <w:tcW w:type="dxa" w:w="2620"/>
            <w:tcBorders>
              <w:top w:val="single" w:color="C9D6E5" w:sz="1"/>
              <w:left w:val="single" w:color="C9D6E5" w:sz="1"/>
              <w:bottom w:val="single" w:color="C9D6E5" w:sz="1"/>
              <w:right w:val="single" w:color="C9D6E5" w:sz="1"/>
            </w:tcBorders>
            <w:shd w:fill="1F3864" w:val="clear"/>
            <w:tcMar>
              <w:top w:type="dxa" w:w="80"/>
              <w:left w:type="dxa" w:w="120"/>
              <w:bottom w:type="dxa" w:w="80"/>
              <w:right w:type="dxa" w:w="120"/>
            </w:tcMar>
            <w:vAlign w:val="center"/>
          </w:tcPr>
          <w:p>
            <w:pPr>
              <w:spacing w:after="0" w:line="264"/>
            </w:pPr>
            <w:r>
              <w:rPr>
                <w:b/>
                <w:bCs/>
                <w:color w:val="FFFFFF"/>
              </w:rPr>
              <w:t xml:space="preserve">Phase 02 — MVP</w:t>
            </w:r>
          </w:p>
        </w:tc>
        <w:tc>
          <w:tcPr>
            <w:tcW w:type="dxa" w:w="2620"/>
            <w:tcBorders>
              <w:top w:val="single" w:color="C9D6E5" w:sz="1"/>
              <w:left w:val="single" w:color="C9D6E5" w:sz="1"/>
              <w:bottom w:val="single" w:color="C9D6E5" w:sz="1"/>
              <w:right w:val="single" w:color="C9D6E5" w:sz="1"/>
            </w:tcBorders>
            <w:shd w:fill="1F3864" w:val="clear"/>
            <w:tcMar>
              <w:top w:type="dxa" w:w="80"/>
              <w:left w:type="dxa" w:w="120"/>
              <w:bottom w:type="dxa" w:w="80"/>
              <w:right w:type="dxa" w:w="120"/>
            </w:tcMar>
            <w:vAlign w:val="center"/>
          </w:tcPr>
          <w:p>
            <w:pPr>
              <w:spacing w:after="0" w:line="264"/>
            </w:pPr>
            <w:r>
              <w:rPr>
                <w:b/>
                <w:bCs/>
                <w:color w:val="FFFFFF"/>
              </w:rPr>
              <w:t xml:space="preserve">Phase 03 — Production</w:t>
            </w:r>
          </w:p>
        </w:tc>
      </w:tr>
      <w:tr>
        <w:tc>
          <w:tcPr>
            <w:tcW w:type="dxa" w:w="1500"/>
            <w:tcBorders>
              <w:top w:val="single" w:color="C9D6E5" w:sz="1"/>
              <w:left w:val="single" w:color="C9D6E5" w:sz="1"/>
              <w:bottom w:val="single" w:color="C9D6E5" w:sz="1"/>
              <w:right w:val="single" w:color="C9D6E5" w:sz="1"/>
            </w:tcBorders>
            <w:shd w:fill="FFFFFF" w:val="clear"/>
            <w:tcMar>
              <w:top w:type="dxa" w:w="80"/>
              <w:left w:type="dxa" w:w="120"/>
              <w:bottom w:type="dxa" w:w="80"/>
              <w:right w:type="dxa" w:w="120"/>
            </w:tcMar>
            <w:vAlign w:val="center"/>
          </w:tcPr>
          <w:p>
            <w:pPr>
              <w:spacing w:after="0" w:line="264"/>
            </w:pPr>
            <w:r>
              <w:rPr>
                <w:b w:val="false"/>
                <w:bCs w:val="false"/>
              </w:rPr>
              <w:t xml:space="preserve">Goal</w:t>
            </w:r>
          </w:p>
        </w:tc>
        <w:tc>
          <w:tcPr>
            <w:tcW w:type="dxa" w:w="2620"/>
            <w:tcBorders>
              <w:top w:val="single" w:color="C9D6E5" w:sz="1"/>
              <w:left w:val="single" w:color="C9D6E5" w:sz="1"/>
              <w:bottom w:val="single" w:color="C9D6E5" w:sz="1"/>
              <w:right w:val="single" w:color="C9D6E5" w:sz="1"/>
            </w:tcBorders>
            <w:shd w:fill="FFFFFF" w:val="clear"/>
            <w:tcMar>
              <w:top w:type="dxa" w:w="80"/>
              <w:left w:type="dxa" w:w="120"/>
              <w:bottom w:type="dxa" w:w="80"/>
              <w:right w:type="dxa" w:w="120"/>
            </w:tcMar>
            <w:vAlign w:val="center"/>
          </w:tcPr>
          <w:p>
            <w:pPr>
              <w:spacing w:after="0" w:line="264"/>
            </w:pPr>
            <w:r>
              <w:rPr>
                <w:b w:val="false"/>
                <w:bCs w:val="false"/>
              </w:rPr>
              <w:t xml:space="preserve">Prove RAG over our docs is viable</w:t>
            </w:r>
          </w:p>
        </w:tc>
        <w:tc>
          <w:tcPr>
            <w:tcW w:type="dxa" w:w="2620"/>
            <w:tcBorders>
              <w:top w:val="single" w:color="C9D6E5" w:sz="1"/>
              <w:left w:val="single" w:color="C9D6E5" w:sz="1"/>
              <w:bottom w:val="single" w:color="C9D6E5" w:sz="1"/>
              <w:right w:val="single" w:color="C9D6E5" w:sz="1"/>
            </w:tcBorders>
            <w:shd w:fill="FFFFFF" w:val="clear"/>
            <w:tcMar>
              <w:top w:type="dxa" w:w="80"/>
              <w:left w:type="dxa" w:w="120"/>
              <w:bottom w:type="dxa" w:w="80"/>
              <w:right w:type="dxa" w:w="120"/>
            </w:tcMar>
            <w:vAlign w:val="center"/>
          </w:tcPr>
          <w:p>
            <w:pPr>
              <w:spacing w:after="0" w:line="264"/>
            </w:pPr>
            <w:r>
              <w:rPr>
                <w:b w:val="false"/>
                <w:bCs w:val="false"/>
              </w:rPr>
              <w:t xml:space="preserve">Move to managed Azure + add structure</w:t>
            </w:r>
          </w:p>
        </w:tc>
        <w:tc>
          <w:tcPr>
            <w:tcW w:type="dxa" w:w="2620"/>
            <w:tcBorders>
              <w:top w:val="single" w:color="C9D6E5" w:sz="1"/>
              <w:left w:val="single" w:color="C9D6E5" w:sz="1"/>
              <w:bottom w:val="single" w:color="C9D6E5" w:sz="1"/>
              <w:right w:val="single" w:color="C9D6E5" w:sz="1"/>
            </w:tcBorders>
            <w:shd w:fill="FFFFFF" w:val="clear"/>
            <w:tcMar>
              <w:top w:type="dxa" w:w="80"/>
              <w:left w:type="dxa" w:w="120"/>
              <w:bottom w:type="dxa" w:w="80"/>
              <w:right w:type="dxa" w:w="120"/>
            </w:tcMar>
            <w:vAlign w:val="center"/>
          </w:tcPr>
          <w:p>
            <w:pPr>
              <w:spacing w:after="0" w:line="264"/>
            </w:pPr>
            <w:r>
              <w:rPr>
                <w:b w:val="false"/>
                <w:bCs w:val="false"/>
              </w:rPr>
              <w:t xml:space="preserve">Multi-agent, regulated-grade, at scale</w:t>
            </w:r>
          </w:p>
        </w:tc>
      </w:tr>
      <w:tr>
        <w:tc>
          <w:tcPr>
            <w:tcW w:type="dxa" w:w="1500"/>
            <w:tcBorders>
              <w:top w:val="single" w:color="C9D6E5" w:sz="1"/>
              <w:left w:val="single" w:color="C9D6E5" w:sz="1"/>
              <w:bottom w:val="single" w:color="C9D6E5" w:sz="1"/>
              <w:right w:val="single" w:color="C9D6E5" w:sz="1"/>
            </w:tcBorders>
            <w:shd w:fill="F2F6FB" w:val="clear"/>
            <w:tcMar>
              <w:top w:type="dxa" w:w="80"/>
              <w:left w:type="dxa" w:w="120"/>
              <w:bottom w:type="dxa" w:w="80"/>
              <w:right w:type="dxa" w:w="120"/>
            </w:tcMar>
            <w:vAlign w:val="center"/>
          </w:tcPr>
          <w:p>
            <w:pPr>
              <w:spacing w:after="0" w:line="264"/>
            </w:pPr>
            <w:r>
              <w:rPr>
                <w:b w:val="false"/>
                <w:bCs w:val="false"/>
              </w:rPr>
              <w:t xml:space="preserve">Parsing</w:t>
            </w:r>
          </w:p>
        </w:tc>
        <w:tc>
          <w:tcPr>
            <w:tcW w:type="dxa" w:w="2620"/>
            <w:tcBorders>
              <w:top w:val="single" w:color="C9D6E5" w:sz="1"/>
              <w:left w:val="single" w:color="C9D6E5" w:sz="1"/>
              <w:bottom w:val="single" w:color="C9D6E5" w:sz="1"/>
              <w:right w:val="single" w:color="C9D6E5" w:sz="1"/>
            </w:tcBorders>
            <w:shd w:fill="F2F6FB" w:val="clear"/>
            <w:tcMar>
              <w:top w:type="dxa" w:w="80"/>
              <w:left w:type="dxa" w:w="120"/>
              <w:bottom w:type="dxa" w:w="80"/>
              <w:right w:type="dxa" w:w="120"/>
            </w:tcMar>
            <w:vAlign w:val="center"/>
          </w:tcPr>
          <w:p>
            <w:pPr>
              <w:spacing w:after="0" w:line="264"/>
            </w:pPr>
            <w:r>
              <w:rPr>
                <w:b w:val="false"/>
                <w:bCs w:val="false"/>
              </w:rPr>
              <w:t xml:space="preserve">Plain text extraction</w:t>
            </w:r>
          </w:p>
        </w:tc>
        <w:tc>
          <w:tcPr>
            <w:tcW w:type="dxa" w:w="2620"/>
            <w:tcBorders>
              <w:top w:val="single" w:color="C9D6E5" w:sz="1"/>
              <w:left w:val="single" w:color="C9D6E5" w:sz="1"/>
              <w:bottom w:val="single" w:color="C9D6E5" w:sz="1"/>
              <w:right w:val="single" w:color="C9D6E5" w:sz="1"/>
            </w:tcBorders>
            <w:shd w:fill="F2F6FB" w:val="clear"/>
            <w:tcMar>
              <w:top w:type="dxa" w:w="80"/>
              <w:left w:type="dxa" w:w="120"/>
              <w:bottom w:type="dxa" w:w="80"/>
              <w:right w:type="dxa" w:w="120"/>
            </w:tcMar>
            <w:vAlign w:val="center"/>
          </w:tcPr>
          <w:p>
            <w:pPr>
              <w:spacing w:after="0" w:line="264"/>
            </w:pPr>
            <w:r>
              <w:rPr>
                <w:b w:val="false"/>
                <w:bCs w:val="false"/>
              </w:rPr>
              <w:t xml:space="preserve">Azure Document Intelligence (layout/tables)</w:t>
            </w:r>
          </w:p>
        </w:tc>
        <w:tc>
          <w:tcPr>
            <w:tcW w:type="dxa" w:w="2620"/>
            <w:tcBorders>
              <w:top w:val="single" w:color="C9D6E5" w:sz="1"/>
              <w:left w:val="single" w:color="C9D6E5" w:sz="1"/>
              <w:bottom w:val="single" w:color="C9D6E5" w:sz="1"/>
              <w:right w:val="single" w:color="C9D6E5" w:sz="1"/>
            </w:tcBorders>
            <w:shd w:fill="F2F6FB" w:val="clear"/>
            <w:tcMar>
              <w:top w:type="dxa" w:w="80"/>
              <w:left w:type="dxa" w:w="120"/>
              <w:bottom w:type="dxa" w:w="80"/>
              <w:right w:type="dxa" w:w="120"/>
            </w:tcMar>
            <w:vAlign w:val="center"/>
          </w:tcPr>
          <w:p>
            <w:pPr>
              <w:spacing w:after="0" w:line="264"/>
            </w:pPr>
            <w:r>
              <w:rPr>
                <w:b w:val="false"/>
                <w:bCs w:val="false"/>
              </w:rPr>
              <w:t xml:space="preserve">Document Intelligence + entity enrichment</w:t>
            </w:r>
          </w:p>
        </w:tc>
      </w:tr>
      <w:tr>
        <w:tc>
          <w:tcPr>
            <w:tcW w:type="dxa" w:w="1500"/>
            <w:tcBorders>
              <w:top w:val="single" w:color="C9D6E5" w:sz="1"/>
              <w:left w:val="single" w:color="C9D6E5" w:sz="1"/>
              <w:bottom w:val="single" w:color="C9D6E5" w:sz="1"/>
              <w:right w:val="single" w:color="C9D6E5" w:sz="1"/>
            </w:tcBorders>
            <w:shd w:fill="FFFFFF" w:val="clear"/>
            <w:tcMar>
              <w:top w:type="dxa" w:w="80"/>
              <w:left w:type="dxa" w:w="120"/>
              <w:bottom w:type="dxa" w:w="80"/>
              <w:right w:type="dxa" w:w="120"/>
            </w:tcMar>
            <w:vAlign w:val="center"/>
          </w:tcPr>
          <w:p>
            <w:pPr>
              <w:spacing w:after="0" w:line="264"/>
            </w:pPr>
            <w:r>
              <w:rPr>
                <w:b w:val="false"/>
                <w:bCs w:val="false"/>
              </w:rPr>
              <w:t xml:space="preserve">Chunking</w:t>
            </w:r>
          </w:p>
        </w:tc>
        <w:tc>
          <w:tcPr>
            <w:tcW w:type="dxa" w:w="2620"/>
            <w:tcBorders>
              <w:top w:val="single" w:color="C9D6E5" w:sz="1"/>
              <w:left w:val="single" w:color="C9D6E5" w:sz="1"/>
              <w:bottom w:val="single" w:color="C9D6E5" w:sz="1"/>
              <w:right w:val="single" w:color="C9D6E5" w:sz="1"/>
            </w:tcBorders>
            <w:shd w:fill="FFFFFF" w:val="clear"/>
            <w:tcMar>
              <w:top w:type="dxa" w:w="80"/>
              <w:left w:type="dxa" w:w="120"/>
              <w:bottom w:type="dxa" w:w="80"/>
              <w:right w:type="dxa" w:w="120"/>
            </w:tcMar>
            <w:vAlign w:val="center"/>
          </w:tcPr>
          <w:p>
            <w:pPr>
              <w:spacing w:after="0" w:line="264"/>
            </w:pPr>
            <w:r>
              <w:rPr>
                <w:b w:val="false"/>
                <w:bCs w:val="false"/>
              </w:rPr>
              <w:t xml:space="preserve">RecursiveCharacterTextSplitter, 1000 chars / 200 overlap</w:t>
            </w:r>
          </w:p>
        </w:tc>
        <w:tc>
          <w:tcPr>
            <w:tcW w:type="dxa" w:w="2620"/>
            <w:tcBorders>
              <w:top w:val="single" w:color="C9D6E5" w:sz="1"/>
              <w:left w:val="single" w:color="C9D6E5" w:sz="1"/>
              <w:bottom w:val="single" w:color="C9D6E5" w:sz="1"/>
              <w:right w:val="single" w:color="C9D6E5" w:sz="1"/>
            </w:tcBorders>
            <w:shd w:fill="FFFFFF" w:val="clear"/>
            <w:tcMar>
              <w:top w:type="dxa" w:w="80"/>
              <w:left w:type="dxa" w:w="120"/>
              <w:bottom w:type="dxa" w:w="80"/>
              <w:right w:type="dxa" w:w="120"/>
            </w:tcMar>
            <w:vAlign w:val="center"/>
          </w:tcPr>
          <w:p>
            <w:pPr>
              <w:spacing w:after="0" w:line="264"/>
            </w:pPr>
            <w:r>
              <w:rPr>
                <w:b w:val="false"/>
                <w:bCs w:val="false"/>
              </w:rPr>
              <w:t xml:space="preserve">Section-bounded semantic, ~600 tokens</w:t>
            </w:r>
          </w:p>
        </w:tc>
        <w:tc>
          <w:tcPr>
            <w:tcW w:type="dxa" w:w="2620"/>
            <w:tcBorders>
              <w:top w:val="single" w:color="C9D6E5" w:sz="1"/>
              <w:left w:val="single" w:color="C9D6E5" w:sz="1"/>
              <w:bottom w:val="single" w:color="C9D6E5" w:sz="1"/>
              <w:right w:val="single" w:color="C9D6E5" w:sz="1"/>
            </w:tcBorders>
            <w:shd w:fill="FFFFFF" w:val="clear"/>
            <w:tcMar>
              <w:top w:type="dxa" w:w="80"/>
              <w:left w:type="dxa" w:w="120"/>
              <w:bottom w:type="dxa" w:w="80"/>
              <w:right w:type="dxa" w:w="120"/>
            </w:tcMar>
            <w:vAlign w:val="center"/>
          </w:tcPr>
          <w:p>
            <w:pPr>
              <w:spacing w:after="0" w:line="264"/>
            </w:pPr>
            <w:r>
              <w:rPr>
                <w:b w:val="false"/>
                <w:bCs w:val="false"/>
              </w:rPr>
              <w:t xml:space="preserve">Hierarchical parent (~2000 tok) → child (~250 tok)</w:t>
            </w:r>
          </w:p>
        </w:tc>
      </w:tr>
      <w:tr>
        <w:tc>
          <w:tcPr>
            <w:tcW w:type="dxa" w:w="1500"/>
            <w:tcBorders>
              <w:top w:val="single" w:color="C9D6E5" w:sz="1"/>
              <w:left w:val="single" w:color="C9D6E5" w:sz="1"/>
              <w:bottom w:val="single" w:color="C9D6E5" w:sz="1"/>
              <w:right w:val="single" w:color="C9D6E5" w:sz="1"/>
            </w:tcBorders>
            <w:shd w:fill="F2F6FB" w:val="clear"/>
            <w:tcMar>
              <w:top w:type="dxa" w:w="80"/>
              <w:left w:type="dxa" w:w="120"/>
              <w:bottom w:type="dxa" w:w="80"/>
              <w:right w:type="dxa" w:w="120"/>
            </w:tcMar>
            <w:vAlign w:val="center"/>
          </w:tcPr>
          <w:p>
            <w:pPr>
              <w:spacing w:after="0" w:line="264"/>
            </w:pPr>
            <w:r>
              <w:rPr>
                <w:b w:val="false"/>
                <w:bCs w:val="false"/>
              </w:rPr>
              <w:t xml:space="preserve">Embeddings</w:t>
            </w:r>
          </w:p>
        </w:tc>
        <w:tc>
          <w:tcPr>
            <w:tcW w:type="dxa" w:w="2620"/>
            <w:tcBorders>
              <w:top w:val="single" w:color="C9D6E5" w:sz="1"/>
              <w:left w:val="single" w:color="C9D6E5" w:sz="1"/>
              <w:bottom w:val="single" w:color="C9D6E5" w:sz="1"/>
              <w:right w:val="single" w:color="C9D6E5" w:sz="1"/>
            </w:tcBorders>
            <w:shd w:fill="F2F6FB" w:val="clear"/>
            <w:tcMar>
              <w:top w:type="dxa" w:w="80"/>
              <w:left w:type="dxa" w:w="120"/>
              <w:bottom w:type="dxa" w:w="80"/>
              <w:right w:type="dxa" w:w="120"/>
            </w:tcMar>
            <w:vAlign w:val="center"/>
          </w:tcPr>
          <w:p>
            <w:pPr>
              <w:spacing w:after="0" w:line="264"/>
            </w:pPr>
            <w:r>
              <w:rPr>
                <w:b w:val="false"/>
                <w:bCs w:val="false"/>
              </w:rPr>
              <w:t xml:space="preserve">Open-source sentence-transformers</w:t>
            </w:r>
          </w:p>
        </w:tc>
        <w:tc>
          <w:tcPr>
            <w:tcW w:type="dxa" w:w="2620"/>
            <w:tcBorders>
              <w:top w:val="single" w:color="C9D6E5" w:sz="1"/>
              <w:left w:val="single" w:color="C9D6E5" w:sz="1"/>
              <w:bottom w:val="single" w:color="C9D6E5" w:sz="1"/>
              <w:right w:val="single" w:color="C9D6E5" w:sz="1"/>
            </w:tcBorders>
            <w:shd w:fill="F2F6FB" w:val="clear"/>
            <w:tcMar>
              <w:top w:type="dxa" w:w="80"/>
              <w:left w:type="dxa" w:w="120"/>
              <w:bottom w:type="dxa" w:w="80"/>
              <w:right w:type="dxa" w:w="120"/>
            </w:tcMar>
            <w:vAlign w:val="center"/>
          </w:tcPr>
          <w:p>
            <w:pPr>
              <w:spacing w:after="0" w:line="264"/>
            </w:pPr>
            <w:r>
              <w:rPr>
                <w:b w:val="false"/>
                <w:bCs w:val="false"/>
              </w:rPr>
              <w:t xml:space="preserve">Azure OpenAI embeddings</w:t>
            </w:r>
          </w:p>
        </w:tc>
        <w:tc>
          <w:tcPr>
            <w:tcW w:type="dxa" w:w="2620"/>
            <w:tcBorders>
              <w:top w:val="single" w:color="C9D6E5" w:sz="1"/>
              <w:left w:val="single" w:color="C9D6E5" w:sz="1"/>
              <w:bottom w:val="single" w:color="C9D6E5" w:sz="1"/>
              <w:right w:val="single" w:color="C9D6E5" w:sz="1"/>
            </w:tcBorders>
            <w:shd w:fill="F2F6FB" w:val="clear"/>
            <w:tcMar>
              <w:top w:type="dxa" w:w="80"/>
              <w:left w:type="dxa" w:w="120"/>
              <w:bottom w:type="dxa" w:w="80"/>
              <w:right w:type="dxa" w:w="120"/>
            </w:tcMar>
            <w:vAlign w:val="center"/>
          </w:tcPr>
          <w:p>
            <w:pPr>
              <w:spacing w:after="0" w:line="264"/>
            </w:pPr>
            <w:r>
              <w:rPr>
                <w:b w:val="false"/>
                <w:bCs w:val="false"/>
              </w:rPr>
              <w:t xml:space="preserve">Azure OpenAI embeddings</w:t>
            </w:r>
          </w:p>
        </w:tc>
      </w:tr>
      <w:tr>
        <w:tc>
          <w:tcPr>
            <w:tcW w:type="dxa" w:w="1500"/>
            <w:tcBorders>
              <w:top w:val="single" w:color="C9D6E5" w:sz="1"/>
              <w:left w:val="single" w:color="C9D6E5" w:sz="1"/>
              <w:bottom w:val="single" w:color="C9D6E5" w:sz="1"/>
              <w:right w:val="single" w:color="C9D6E5" w:sz="1"/>
            </w:tcBorders>
            <w:shd w:fill="FFFFFF" w:val="clear"/>
            <w:tcMar>
              <w:top w:type="dxa" w:w="80"/>
              <w:left w:type="dxa" w:w="120"/>
              <w:bottom w:type="dxa" w:w="80"/>
              <w:right w:type="dxa" w:w="120"/>
            </w:tcMar>
            <w:vAlign w:val="center"/>
          </w:tcPr>
          <w:p>
            <w:pPr>
              <w:spacing w:after="0" w:line="264"/>
            </w:pPr>
            <w:r>
              <w:rPr>
                <w:b w:val="false"/>
                <w:bCs w:val="false"/>
              </w:rPr>
              <w:t xml:space="preserve">Index / store</w:t>
            </w:r>
          </w:p>
        </w:tc>
        <w:tc>
          <w:tcPr>
            <w:tcW w:type="dxa" w:w="2620"/>
            <w:tcBorders>
              <w:top w:val="single" w:color="C9D6E5" w:sz="1"/>
              <w:left w:val="single" w:color="C9D6E5" w:sz="1"/>
              <w:bottom w:val="single" w:color="C9D6E5" w:sz="1"/>
              <w:right w:val="single" w:color="C9D6E5" w:sz="1"/>
            </w:tcBorders>
            <w:shd w:fill="FFFFFF" w:val="clear"/>
            <w:tcMar>
              <w:top w:type="dxa" w:w="80"/>
              <w:left w:type="dxa" w:w="120"/>
              <w:bottom w:type="dxa" w:w="80"/>
              <w:right w:type="dxa" w:w="120"/>
            </w:tcMar>
            <w:vAlign w:val="center"/>
          </w:tcPr>
          <w:p>
            <w:pPr>
              <w:spacing w:after="0" w:line="264"/>
            </w:pPr>
            <w:r>
              <w:rPr>
                <w:b w:val="false"/>
                <w:bCs w:val="false"/>
              </w:rPr>
              <w:t xml:space="preserve">Local FAISS flat index</w:t>
            </w:r>
          </w:p>
        </w:tc>
        <w:tc>
          <w:tcPr>
            <w:tcW w:type="dxa" w:w="2620"/>
            <w:tcBorders>
              <w:top w:val="single" w:color="C9D6E5" w:sz="1"/>
              <w:left w:val="single" w:color="C9D6E5" w:sz="1"/>
              <w:bottom w:val="single" w:color="C9D6E5" w:sz="1"/>
              <w:right w:val="single" w:color="C9D6E5" w:sz="1"/>
            </w:tcBorders>
            <w:shd w:fill="FFFFFF" w:val="clear"/>
            <w:tcMar>
              <w:top w:type="dxa" w:w="80"/>
              <w:left w:type="dxa" w:w="120"/>
              <w:bottom w:type="dxa" w:w="80"/>
              <w:right w:type="dxa" w:w="120"/>
            </w:tcMar>
            <w:vAlign w:val="center"/>
          </w:tcPr>
          <w:p>
            <w:pPr>
              <w:spacing w:after="0" w:line="264"/>
            </w:pPr>
            <w:r>
              <w:rPr>
                <w:b w:val="false"/>
                <w:bCs w:val="false"/>
              </w:rPr>
              <w:t xml:space="preserve">Azure AI Search (hybrid vector + BM25)</w:t>
            </w:r>
          </w:p>
        </w:tc>
        <w:tc>
          <w:tcPr>
            <w:tcW w:type="dxa" w:w="2620"/>
            <w:tcBorders>
              <w:top w:val="single" w:color="C9D6E5" w:sz="1"/>
              <w:left w:val="single" w:color="C9D6E5" w:sz="1"/>
              <w:bottom w:val="single" w:color="C9D6E5" w:sz="1"/>
              <w:right w:val="single" w:color="C9D6E5" w:sz="1"/>
            </w:tcBorders>
            <w:shd w:fill="FFFFFF" w:val="clear"/>
            <w:tcMar>
              <w:top w:type="dxa" w:w="80"/>
              <w:left w:type="dxa" w:w="120"/>
              <w:bottom w:type="dxa" w:w="80"/>
              <w:right w:type="dxa" w:w="120"/>
            </w:tcMar>
            <w:vAlign w:val="center"/>
          </w:tcPr>
          <w:p>
            <w:pPr>
              <w:spacing w:after="0" w:line="264"/>
            </w:pPr>
            <w:r>
              <w:rPr>
                <w:b w:val="false"/>
                <w:bCs w:val="false"/>
              </w:rPr>
              <w:t xml:space="preserve">Azure AI Search + Cosmos DB parent store, BGE reranker</w:t>
            </w:r>
          </w:p>
        </w:tc>
      </w:tr>
      <w:tr>
        <w:tc>
          <w:tcPr>
            <w:tcW w:type="dxa" w:w="1500"/>
            <w:tcBorders>
              <w:top w:val="single" w:color="C9D6E5" w:sz="1"/>
              <w:left w:val="single" w:color="C9D6E5" w:sz="1"/>
              <w:bottom w:val="single" w:color="C9D6E5" w:sz="1"/>
              <w:right w:val="single" w:color="C9D6E5" w:sz="1"/>
            </w:tcBorders>
            <w:shd w:fill="F2F6FB" w:val="clear"/>
            <w:tcMar>
              <w:top w:type="dxa" w:w="80"/>
              <w:left w:type="dxa" w:w="120"/>
              <w:bottom w:type="dxa" w:w="80"/>
              <w:right w:type="dxa" w:w="120"/>
            </w:tcMar>
            <w:vAlign w:val="center"/>
          </w:tcPr>
          <w:p>
            <w:pPr>
              <w:spacing w:after="0" w:line="264"/>
            </w:pPr>
            <w:r>
              <w:rPr>
                <w:b w:val="false"/>
                <w:bCs w:val="false"/>
              </w:rPr>
              <w:t xml:space="preserve">Intelligence</w:t>
            </w:r>
          </w:p>
        </w:tc>
        <w:tc>
          <w:tcPr>
            <w:tcW w:type="dxa" w:w="2620"/>
            <w:tcBorders>
              <w:top w:val="single" w:color="C9D6E5" w:sz="1"/>
              <w:left w:val="single" w:color="C9D6E5" w:sz="1"/>
              <w:bottom w:val="single" w:color="C9D6E5" w:sz="1"/>
              <w:right w:val="single" w:color="C9D6E5" w:sz="1"/>
            </w:tcBorders>
            <w:shd w:fill="F2F6FB" w:val="clear"/>
            <w:tcMar>
              <w:top w:type="dxa" w:w="80"/>
              <w:left w:type="dxa" w:w="120"/>
              <w:bottom w:type="dxa" w:w="80"/>
              <w:right w:type="dxa" w:w="120"/>
            </w:tcMar>
            <w:vAlign w:val="center"/>
          </w:tcPr>
          <w:p>
            <w:pPr>
              <w:spacing w:after="0" w:line="264"/>
            </w:pPr>
            <w:r>
              <w:rPr>
                <w:b w:val="false"/>
                <w:bCs w:val="false"/>
              </w:rPr>
              <w:t xml:space="preserve">Single RAG chain</w:t>
            </w:r>
          </w:p>
        </w:tc>
        <w:tc>
          <w:tcPr>
            <w:tcW w:type="dxa" w:w="2620"/>
            <w:tcBorders>
              <w:top w:val="single" w:color="C9D6E5" w:sz="1"/>
              <w:left w:val="single" w:color="C9D6E5" w:sz="1"/>
              <w:bottom w:val="single" w:color="C9D6E5" w:sz="1"/>
              <w:right w:val="single" w:color="C9D6E5" w:sz="1"/>
            </w:tcBorders>
            <w:shd w:fill="F2F6FB" w:val="clear"/>
            <w:tcMar>
              <w:top w:type="dxa" w:w="80"/>
              <w:left w:type="dxa" w:w="120"/>
              <w:bottom w:type="dxa" w:w="80"/>
              <w:right w:type="dxa" w:w="120"/>
            </w:tcMar>
            <w:vAlign w:val="center"/>
          </w:tcPr>
          <w:p>
            <w:pPr>
              <w:spacing w:after="0" w:line="264"/>
            </w:pPr>
            <w:r>
              <w:rPr>
                <w:b w:val="false"/>
                <w:bCs w:val="false"/>
              </w:rPr>
              <w:t xml:space="preserve">Single RAG + early routing</w:t>
            </w:r>
          </w:p>
        </w:tc>
        <w:tc>
          <w:tcPr>
            <w:tcW w:type="dxa" w:w="2620"/>
            <w:tcBorders>
              <w:top w:val="single" w:color="C9D6E5" w:sz="1"/>
              <w:left w:val="single" w:color="C9D6E5" w:sz="1"/>
              <w:bottom w:val="single" w:color="C9D6E5" w:sz="1"/>
              <w:right w:val="single" w:color="C9D6E5" w:sz="1"/>
            </w:tcBorders>
            <w:shd w:fill="F2F6FB" w:val="clear"/>
            <w:tcMar>
              <w:top w:type="dxa" w:w="80"/>
              <w:left w:type="dxa" w:w="120"/>
              <w:bottom w:type="dxa" w:w="80"/>
              <w:right w:type="dxa" w:w="120"/>
            </w:tcMar>
            <w:vAlign w:val="center"/>
          </w:tcPr>
          <w:p>
            <w:pPr>
              <w:spacing w:after="0" w:line="264"/>
            </w:pPr>
            <w:r>
              <w:rPr>
                <w:b w:val="false"/>
                <w:bCs w:val="false"/>
              </w:rPr>
              <w:t xml:space="preserve">LLM orchestrator + 5 specialist agents</w:t>
            </w:r>
          </w:p>
        </w:tc>
      </w:tr>
      <w:tr>
        <w:tc>
          <w:tcPr>
            <w:tcW w:type="dxa" w:w="1500"/>
            <w:tcBorders>
              <w:top w:val="single" w:color="C9D6E5" w:sz="1"/>
              <w:left w:val="single" w:color="C9D6E5" w:sz="1"/>
              <w:bottom w:val="single" w:color="C9D6E5" w:sz="1"/>
              <w:right w:val="single" w:color="C9D6E5" w:sz="1"/>
            </w:tcBorders>
            <w:shd w:fill="FFFFFF" w:val="clear"/>
            <w:tcMar>
              <w:top w:type="dxa" w:w="80"/>
              <w:left w:type="dxa" w:w="120"/>
              <w:bottom w:type="dxa" w:w="80"/>
              <w:right w:type="dxa" w:w="120"/>
            </w:tcMar>
            <w:vAlign w:val="center"/>
          </w:tcPr>
          <w:p>
            <w:pPr>
              <w:spacing w:after="0" w:line="264"/>
            </w:pPr>
            <w:r>
              <w:rPr>
                <w:b w:val="false"/>
                <w:bCs w:val="false"/>
              </w:rPr>
              <w:t xml:space="preserve">Eval</w:t>
            </w:r>
          </w:p>
        </w:tc>
        <w:tc>
          <w:tcPr>
            <w:tcW w:type="dxa" w:w="2620"/>
            <w:tcBorders>
              <w:top w:val="single" w:color="C9D6E5" w:sz="1"/>
              <w:left w:val="single" w:color="C9D6E5" w:sz="1"/>
              <w:bottom w:val="single" w:color="C9D6E5" w:sz="1"/>
              <w:right w:val="single" w:color="C9D6E5" w:sz="1"/>
            </w:tcBorders>
            <w:shd w:fill="FFFFFF" w:val="clear"/>
            <w:tcMar>
              <w:top w:type="dxa" w:w="80"/>
              <w:left w:type="dxa" w:w="120"/>
              <w:bottom w:type="dxa" w:w="80"/>
              <w:right w:type="dxa" w:w="120"/>
            </w:tcMar>
            <w:vAlign w:val="center"/>
          </w:tcPr>
          <w:p>
            <w:pPr>
              <w:spacing w:after="0" w:line="264"/>
            </w:pPr>
            <w:r>
              <w:rPr>
                <w:b w:val="false"/>
                <w:bCs w:val="false"/>
              </w:rPr>
              <w:t xml:space="preserve">Eyeball / spot-check</w:t>
            </w:r>
          </w:p>
        </w:tc>
        <w:tc>
          <w:tcPr>
            <w:tcW w:type="dxa" w:w="2620"/>
            <w:tcBorders>
              <w:top w:val="single" w:color="C9D6E5" w:sz="1"/>
              <w:left w:val="single" w:color="C9D6E5" w:sz="1"/>
              <w:bottom w:val="single" w:color="C9D6E5" w:sz="1"/>
              <w:right w:val="single" w:color="C9D6E5" w:sz="1"/>
            </w:tcBorders>
            <w:shd w:fill="FFFFFF" w:val="clear"/>
            <w:tcMar>
              <w:top w:type="dxa" w:w="80"/>
              <w:left w:type="dxa" w:w="120"/>
              <w:bottom w:type="dxa" w:w="80"/>
              <w:right w:type="dxa" w:w="120"/>
            </w:tcMar>
            <w:vAlign w:val="center"/>
          </w:tcPr>
          <w:p>
            <w:pPr>
              <w:spacing w:after="0" w:line="264"/>
            </w:pPr>
            <w:r>
              <w:rPr>
                <w:b w:val="false"/>
                <w:bCs w:val="false"/>
              </w:rPr>
              <w:t xml:space="preserve">RAGAS faithfulness &amp; relevance</w:t>
            </w:r>
          </w:p>
        </w:tc>
        <w:tc>
          <w:tcPr>
            <w:tcW w:type="dxa" w:w="2620"/>
            <w:tcBorders>
              <w:top w:val="single" w:color="C9D6E5" w:sz="1"/>
              <w:left w:val="single" w:color="C9D6E5" w:sz="1"/>
              <w:bottom w:val="single" w:color="C9D6E5" w:sz="1"/>
              <w:right w:val="single" w:color="C9D6E5" w:sz="1"/>
            </w:tcBorders>
            <w:shd w:fill="FFFFFF" w:val="clear"/>
            <w:tcMar>
              <w:top w:type="dxa" w:w="80"/>
              <w:left w:type="dxa" w:w="120"/>
              <w:bottom w:type="dxa" w:w="80"/>
              <w:right w:type="dxa" w:w="120"/>
            </w:tcMar>
            <w:vAlign w:val="center"/>
          </w:tcPr>
          <w:p>
            <w:pPr>
              <w:spacing w:after="0" w:line="264"/>
            </w:pPr>
            <w:r>
              <w:rPr>
                <w:b w:val="false"/>
                <w:bCs w:val="false"/>
              </w:rPr>
              <w:t xml:space="preserve">Seven-layer regulated eval program</w:t>
            </w:r>
          </w:p>
        </w:tc>
      </w:tr>
    </w:tbl>
    <w:p>
      <w:pPr>
        <w:pStyle w:val="Heading2"/>
      </w:pPr>
      <w:r>
        <w:t xml:space="preserve">Phase 01 — Proof of Concept</w:t>
      </w:r>
    </w:p>
    <w:p>
      <w:pPr>
        <w:spacing w:after="160" w:line="276"/>
      </w:pPr>
      <w:r>
        <w:rPr>
          <w:b/>
          <w:bCs/>
          <w:i w:val="false"/>
          <w:iCs w:val="false"/>
        </w:rPr>
        <w:t xml:space="preserve">Objective. </w:t>
      </w:r>
      <w:r>
        <w:t xml:space="preserve">Answer one question: can retrieval-augmented generation over our own scientific documents produce useful, grounded answers at all? Keep it cheap and local so we could iterate fast.</w:t>
      </w:r>
    </w:p>
    <w:p>
      <w:pPr>
        <w:spacing w:after="160" w:line="276"/>
      </w:pPr>
      <w:r>
        <w:rPr>
          <w:b/>
          <w:bCs/>
          <w:i w:val="false"/>
          <w:iCs w:val="false"/>
        </w:rPr>
        <w:t xml:space="preserve">What we built. </w:t>
      </w:r>
      <w:r>
        <w:t xml:space="preserve">A single LangChain RAG chain. Documents were split with RecursiveCharacterTextSplitter at 1000 characters with 200-character overlap, embedded with open-source sentence-transformer models, and stored in a local FAISS flat index. A Streamlit front end let scientists try real questions.</w:t>
      </w:r>
    </w:p>
    <w:p>
      <w:pPr>
        <w:spacing w:after="160" w:line="276"/>
      </w:pPr>
      <w:r>
        <w:rPr>
          <w:b/>
          <w:bCs/>
          <w:i w:val="false"/>
          <w:iCs w:val="false"/>
          <w:color w:val="2E8B8B"/>
        </w:rPr>
        <w:t xml:space="preserve">A timeline note worth owning. </w:t>
      </w:r>
      <w:r>
        <w:t xml:space="preserve">The PoC used open-source sentence-transformer embeddings rather than Azure OpenAI embeddings, because text-embedding-ada-002 only became available in December 2022 and GPT-3.5-Turbo in March 2023. Being precise about this shows you actually shipped on real timelines.</w:t>
      </w:r>
    </w:p>
    <w:p>
      <w:pPr>
        <w:pStyle w:val="ListParagraph"/>
        <w:numPr>
          <w:ilvl w:val="0"/>
          <w:numId w:val="2"/>
        </w:numPr>
        <w:spacing w:after="80" w:line="270"/>
      </w:pPr>
      <w:r>
        <w:rPr>
          <w:b/>
          <w:bCs/>
          <w:i w:val="false"/>
          <w:iCs w:val="false"/>
          <w:color w:val="2E75B6"/>
        </w:rPr>
        <w:t xml:space="preserve">Solved: </w:t>
      </w:r>
      <w:r>
        <w:t xml:space="preserve">proved grounded answers over our corpus were possible and valuable.</w:t>
      </w:r>
    </w:p>
    <w:p>
      <w:pPr>
        <w:pStyle w:val="ListParagraph"/>
        <w:numPr>
          <w:ilvl w:val="0"/>
          <w:numId w:val="2"/>
        </w:numPr>
        <w:spacing w:after="80" w:line="270"/>
      </w:pPr>
      <w:r>
        <w:rPr>
          <w:b/>
          <w:bCs/>
          <w:i w:val="false"/>
          <w:iCs w:val="false"/>
          <w:color w:val="B45309"/>
        </w:rPr>
        <w:t xml:space="preserve">Broke / exposed: </w:t>
      </w:r>
      <w:r>
        <w:t xml:space="preserve">fixed-size character chunking sliced tables and sections mid-thought; a flat FAISS index wouldn’t scale or survive operationally; and there was no governance, no audit, no real evaluation.</w:t>
      </w:r>
    </w:p>
    <w:p>
      <w:pPr>
        <w:pStyle w:val="Heading2"/>
      </w:pPr>
      <w:r>
        <w:t xml:space="preserve">Phase 02 — MVP</w:t>
      </w:r>
    </w:p>
    <w:p>
      <w:pPr>
        <w:spacing w:after="160" w:line="276"/>
      </w:pPr>
      <w:r>
        <w:rPr>
          <w:b/>
          <w:bCs/>
          <w:i w:val="false"/>
          <w:iCs w:val="false"/>
        </w:rPr>
        <w:t xml:space="preserve">Objective. </w:t>
      </w:r>
      <w:r>
        <w:t xml:space="preserve">Make it real on the enterprise Azure stack, fix the chunking that was hurting answer quality, and put the first honest evaluation in place.</w:t>
      </w:r>
    </w:p>
    <w:p>
      <w:pPr>
        <w:spacing w:after="160" w:line="276"/>
      </w:pPr>
      <w:r>
        <w:rPr>
          <w:b/>
          <w:bCs/>
          <w:i w:val="false"/>
          <w:iCs w:val="false"/>
        </w:rPr>
        <w:t xml:space="preserve">What we built. </w:t>
      </w:r>
      <w:r>
        <w:t xml:space="preserve">Parsing moved to Azure Document Intelligence so layout and tables survived extraction. Chunking became section-bounded and semantic at roughly 600 tokens, respecting document structure instead of character counts. Vectors moved into Azure AI Search with hybrid retrieval — dense vector plus BM25 keyword — which matters because scientific queries mix conceptual similarity with exact-term matching (drug names, codes). Embeddings moved to Azure OpenAI. We added the first RAGAS-based evaluation on faithfulness and answer relevance, plus early query routing.</w:t>
      </w:r>
    </w:p>
    <w:p>
      <w:pPr>
        <w:pStyle w:val="ListParagraph"/>
        <w:numPr>
          <w:ilvl w:val="0"/>
          <w:numId w:val="2"/>
        </w:numPr>
        <w:spacing w:after="80" w:line="270"/>
      </w:pPr>
      <w:r>
        <w:rPr>
          <w:b/>
          <w:bCs/>
          <w:i w:val="false"/>
          <w:iCs w:val="false"/>
          <w:color w:val="2E75B6"/>
        </w:rPr>
        <w:t xml:space="preserve">Solved: </w:t>
      </w:r>
      <w:r>
        <w:t xml:space="preserve">answer quality improved with structure-aware chunking; the system became managed, secured, and observable; we could finally measure faithfulness.</w:t>
      </w:r>
    </w:p>
    <w:p>
      <w:pPr>
        <w:pStyle w:val="ListParagraph"/>
        <w:numPr>
          <w:ilvl w:val="0"/>
          <w:numId w:val="2"/>
        </w:numPr>
        <w:spacing w:after="80" w:line="270"/>
      </w:pPr>
      <w:r>
        <w:rPr>
          <w:b/>
          <w:bCs/>
          <w:i w:val="false"/>
          <w:iCs w:val="false"/>
          <w:color w:val="B45309"/>
        </w:rPr>
        <w:t xml:space="preserve">Broke / exposed: </w:t>
      </w:r>
      <w:r>
        <w:t xml:space="preserve">a single RAG chain couldn’t serve genuinely different jobs well — a drug-safety causality question, an ontology lookup, and a document summary need different behavior; and faithfulness-only metrics had a blind spot (see the eval incident below).</w:t>
      </w:r>
    </w:p>
    <w:p>
      <w:pPr>
        <w:pStyle w:val="Heading2"/>
      </w:pPr>
      <w:r>
        <w:t xml:space="preserve">Phase 03 — Production</w:t>
      </w:r>
    </w:p>
    <w:p>
      <w:pPr>
        <w:spacing w:after="160" w:line="276"/>
      </w:pPr>
      <w:r>
        <w:rPr>
          <w:b/>
          <w:bCs/>
          <w:i w:val="false"/>
          <w:iCs w:val="false"/>
        </w:rPr>
        <w:t xml:space="preserve">Objective. </w:t>
      </w:r>
      <w:r>
        <w:t xml:space="preserve">Turn one RAG chain into a coordinated multi-agent system, harden retrieval for the hardest documents, and wrap the whole thing in a regulated-grade evaluation and audit program.</w:t>
      </w:r>
    </w:p>
    <w:p>
      <w:pPr>
        <w:spacing w:after="160" w:line="276"/>
      </w:pPr>
      <w:r>
        <w:rPr>
          <w:b/>
          <w:bCs/>
          <w:i w:val="false"/>
          <w:iCs w:val="false"/>
        </w:rPr>
        <w:t xml:space="preserve">What we built. </w:t>
      </w:r>
      <w:r>
        <w:t xml:space="preserve">An LLM-as-Orchestrator pattern coordinating five specialist agents (next section). Retrieval became hierarchical — small child chunks (~250 tokens) for precise matching that retrieve their larger parent chunk (~2000 tokens) for full context — with biomedical entity enrichment (RxNorm CUIs, MedDRA PT codes, NCT identifiers), dual-indexed tables, and a BGE cross-encoder reranker on top of hybrid retrieval. Parent documents are stored in Cosmos DB. Agents coordinate over an Azure Service Bus pub/sub fabric, and every decision is traced end-to-end into a Cosmos DB audit log.</w:t>
      </w:r>
    </w:p>
    <w:p>
      <w:pPr>
        <w:pStyle w:val="ListParagraph"/>
        <w:numPr>
          <w:ilvl w:val="0"/>
          <w:numId w:val="2"/>
        </w:numPr>
        <w:spacing w:after="80" w:line="270"/>
      </w:pPr>
      <w:r>
        <w:rPr>
          <w:b/>
          <w:bCs/>
          <w:i w:val="false"/>
          <w:iCs w:val="false"/>
          <w:color w:val="2E75B6"/>
        </w:rPr>
        <w:t xml:space="preserve">Solved: </w:t>
      </w:r>
      <w:r>
        <w:t xml:space="preserve">specialist-quality answers per domain, far better retrieval on dense regulatory PDFs, full auditability, and scale to 120 concurrent sessions under 900 ms p95.</w:t>
      </w:r>
    </w:p>
    <w:p>
      <w:pPr>
        <w:pStyle w:val="ListParagraph"/>
        <w:numPr>
          <w:ilvl w:val="0"/>
          <w:numId w:val="2"/>
        </w:numPr>
        <w:spacing w:after="80" w:line="270"/>
      </w:pPr>
      <w:r>
        <w:rPr>
          <w:b/>
          <w:bCs/>
          <w:i w:val="false"/>
          <w:iCs w:val="false"/>
          <w:color w:val="B45309"/>
        </w:rPr>
        <w:t xml:space="preserve">Residual risk we monitor: </w:t>
      </w:r>
      <w:r>
        <w:t xml:space="preserve">confabulation on thin retrieval — when the corpus genuinely lacks an answer — is actively monitored rather than claimed solved. Honesty here reads as senior.</w:t>
      </w:r>
    </w:p>
    <w:p>
      <w:r>
        <w:br w:type="page"/>
      </w:r>
    </w:p>
    <w:p>
      <w:pPr>
        <w:pStyle w:val="Heading1"/>
      </w:pPr>
      <w:r>
        <w:t xml:space="preserve">5. Building the Multi-Agent Orchestrator</w:t>
      </w:r>
    </w:p>
    <w:p>
      <w:pPr>
        <w:spacing w:after="160" w:line="276"/>
      </w:pPr>
      <w:r>
        <w:rPr>
          <w:b w:val="false"/>
          <w:bCs w:val="false"/>
          <w:i w:val="false"/>
          <w:iCs w:val="false"/>
        </w:rPr>
        <w:t xml:space="preserve">This is the technical heart of the system and the part most worth being able to defend box by box. The design question was: how does a query become coordinated work across specialists without becoming a brittle pile of if-statements?</w:t>
      </w:r>
    </w:p>
    <w:p>
      <w:pPr>
        <w:pStyle w:val="Heading2"/>
      </w:pPr>
      <w:r>
        <w:t xml:space="preserve">Strategy 1 — LLM-as-Orchestrator over hard-coded routing</w:t>
      </w:r>
    </w:p>
    <w:p>
      <w:pPr>
        <w:spacing w:after="160" w:line="276"/>
      </w:pPr>
      <w:r>
        <w:rPr>
          <w:b w:val="false"/>
          <w:bCs w:val="false"/>
          <w:i w:val="false"/>
          <w:iCs w:val="false"/>
        </w:rPr>
        <w:t xml:space="preserve">The first cut used hard-coded, rule-based routing — keyword and pattern matching to decide which path a query took. It topped out around 84% routing accuracy and was painful to extend. We pivoted to an LLM-as-Orchestrator pattern: GPT-4o itself interprets the query, plans the work, decides which specialists to invoke, fans out, and assembles the response. Routing accuracy moved to 97%+.</w:t>
      </w:r>
    </w:p>
    <w:tbl>
      <w:tblPr>
        <w:tblW w:type="dxa" w:w="9360"/>
        <w:tblBorders>
          <w:top w:val="single" w:color="EAF1F8" w:sz="1"/>
          <w:left w:val="single" w:color="2E75B6" w:sz="24"/>
          <w:bottom w:val="single" w:color="EAF1F8" w:sz="1"/>
          <w:right w:val="single" w:color="EAF1F8" w:sz="1"/>
          <w:insideH w:val="single" w:color="auto" w:sz="4"/>
          <w:insideV w:val="single" w:color="auto" w:sz="4"/>
        </w:tblBorders>
      </w:tblPr>
      <w:tblGrid>
        <w:gridCol w:w="9360"/>
      </w:tblGrid>
      <w:tr>
        <w:tc>
          <w:tcPr>
            <w:tcW w:type="dxa" w:w="9360"/>
            <w:shd w:fill="EAF1F8" w:val="clear"/>
            <w:tcMar>
              <w:top w:type="dxa" w:w="120"/>
              <w:left w:type="dxa" w:w="200"/>
              <w:bottom w:type="dxa" w:w="120"/>
              <w:right w:type="dxa" w:w="200"/>
            </w:tcMar>
          </w:tcPr>
          <w:p>
            <w:pPr>
              <w:spacing w:after="60"/>
            </w:pPr>
            <w:r>
              <w:rPr>
                <w:b/>
                <w:bCs/>
                <w:color w:val="1F3864"/>
              </w:rPr>
              <w:t xml:space="preserve">The key insight to articulate</w:t>
            </w:r>
          </w:p>
          <w:p>
            <w:r>
              <w:t xml:space="preserve">Routing, planning, fan-out, response assembly, disclaimer injection, and output formatting are cognitive tasks — so they’re handled natively by the LLM via a carefully engineered system prompt, not by application code. The orchestrator only keeps hard tool calls for things the model genuinely cannot do itself: external I/O.</w:t>
            </w:r>
          </w:p>
        </w:tc>
      </w:tr>
    </w:tbl>
    <w:p>
      <w:pPr>
        <w:pStyle w:val="Heading2"/>
      </w:pPr>
      <w:r>
        <w:t xml:space="preserve">Strategy 2 — Thin, first-class orchestrator with only 5 hard tools</w:t>
      </w:r>
    </w:p>
    <w:p>
      <w:pPr>
        <w:spacing w:after="160" w:line="276"/>
      </w:pPr>
      <w:r>
        <w:rPr>
          <w:b w:val="false"/>
          <w:bCs w:val="false"/>
          <w:i w:val="false"/>
          <w:iCs w:val="false"/>
        </w:rPr>
        <w:t xml:space="preserve">The orchestrator is a real agent, not a passthrough. But it owns only five hard tool calls — the operations that touch the outside world: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9D6E5" w:sz="1"/>
              <w:left w:val="single" w:color="C9D6E5" w:sz="1"/>
              <w:bottom w:val="single" w:color="C9D6E5" w:sz="1"/>
              <w:right w:val="single" w:color="C9D6E5" w:sz="1"/>
            </w:tcBorders>
            <w:shd w:fill="1F3864" w:val="clear"/>
            <w:tcMar>
              <w:top w:type="dxa" w:w="80"/>
              <w:left w:type="dxa" w:w="120"/>
              <w:bottom w:type="dxa" w:w="80"/>
              <w:right w:type="dxa" w:w="120"/>
            </w:tcMar>
            <w:vAlign w:val="center"/>
          </w:tcPr>
          <w:p>
            <w:pPr>
              <w:spacing w:after="0" w:line="264"/>
            </w:pPr>
            <w:r>
              <w:rPr>
                <w:b/>
                <w:bCs/>
                <w:color w:val="FFFFFF"/>
              </w:rPr>
              <w:t xml:space="preserve">Orchestrator tool</w:t>
            </w:r>
          </w:p>
        </w:tc>
        <w:tc>
          <w:tcPr>
            <w:tcW w:type="dxa" w:w="6240"/>
            <w:tcBorders>
              <w:top w:val="single" w:color="C9D6E5" w:sz="1"/>
              <w:left w:val="single" w:color="C9D6E5" w:sz="1"/>
              <w:bottom w:val="single" w:color="C9D6E5" w:sz="1"/>
              <w:right w:val="single" w:color="C9D6E5" w:sz="1"/>
            </w:tcBorders>
            <w:shd w:fill="1F3864" w:val="clear"/>
            <w:tcMar>
              <w:top w:type="dxa" w:w="80"/>
              <w:left w:type="dxa" w:w="120"/>
              <w:bottom w:type="dxa" w:w="80"/>
              <w:right w:type="dxa" w:w="120"/>
            </w:tcMar>
            <w:vAlign w:val="center"/>
          </w:tcPr>
          <w:p>
            <w:pPr>
              <w:spacing w:after="0" w:line="264"/>
            </w:pPr>
            <w:r>
              <w:rPr>
                <w:b/>
                <w:bCs/>
                <w:color w:val="FFFFFF"/>
              </w:rPr>
              <w:t xml:space="preserve">Why it must be a real tool call</w:t>
            </w:r>
          </w:p>
        </w:tc>
      </w:tr>
      <w:tr>
        <w:tc>
          <w:tcPr>
            <w:tcW w:type="dxa" w:w="3120"/>
            <w:tcBorders>
              <w:top w:val="single" w:color="C9D6E5" w:sz="1"/>
              <w:left w:val="single" w:color="C9D6E5" w:sz="1"/>
              <w:bottom w:val="single" w:color="C9D6E5" w:sz="1"/>
              <w:right w:val="single" w:color="C9D6E5" w:sz="1"/>
            </w:tcBorders>
            <w:shd w:fill="FFFFFF" w:val="clear"/>
            <w:tcMar>
              <w:top w:type="dxa" w:w="80"/>
              <w:left w:type="dxa" w:w="120"/>
              <w:bottom w:type="dxa" w:w="80"/>
              <w:right w:type="dxa" w:w="120"/>
            </w:tcMar>
            <w:vAlign w:val="center"/>
          </w:tcPr>
          <w:p>
            <w:pPr>
              <w:spacing w:after="0" w:line="264"/>
            </w:pPr>
            <w:r>
              <w:rPr>
                <w:b w:val="false"/>
                <w:bCs w:val="false"/>
              </w:rPr>
              <w:t xml:space="preserve">invoke_agent</w:t>
            </w:r>
          </w:p>
        </w:tc>
        <w:tc>
          <w:tcPr>
            <w:tcW w:type="dxa" w:w="6240"/>
            <w:tcBorders>
              <w:top w:val="single" w:color="C9D6E5" w:sz="1"/>
              <w:left w:val="single" w:color="C9D6E5" w:sz="1"/>
              <w:bottom w:val="single" w:color="C9D6E5" w:sz="1"/>
              <w:right w:val="single" w:color="C9D6E5" w:sz="1"/>
            </w:tcBorders>
            <w:shd w:fill="FFFFFF" w:val="clear"/>
            <w:tcMar>
              <w:top w:type="dxa" w:w="80"/>
              <w:left w:type="dxa" w:w="120"/>
              <w:bottom w:type="dxa" w:w="80"/>
              <w:right w:type="dxa" w:w="120"/>
            </w:tcMar>
            <w:vAlign w:val="center"/>
          </w:tcPr>
          <w:p>
            <w:pPr>
              <w:spacing w:after="0" w:line="264"/>
            </w:pPr>
            <w:r>
              <w:rPr>
                <w:b w:val="false"/>
                <w:bCs w:val="false"/>
              </w:rPr>
              <w:t xml:space="preserve">Dispatch work to a specialist agent (the core fan-out primitive)</w:t>
            </w:r>
          </w:p>
        </w:tc>
      </w:tr>
      <w:tr>
        <w:tc>
          <w:tcPr>
            <w:tcW w:type="dxa" w:w="3120"/>
            <w:tcBorders>
              <w:top w:val="single" w:color="C9D6E5" w:sz="1"/>
              <w:left w:val="single" w:color="C9D6E5" w:sz="1"/>
              <w:bottom w:val="single" w:color="C9D6E5" w:sz="1"/>
              <w:right w:val="single" w:color="C9D6E5" w:sz="1"/>
            </w:tcBorders>
            <w:shd w:fill="F2F6FB" w:val="clear"/>
            <w:tcMar>
              <w:top w:type="dxa" w:w="80"/>
              <w:left w:type="dxa" w:w="120"/>
              <w:bottom w:type="dxa" w:w="80"/>
              <w:right w:type="dxa" w:w="120"/>
            </w:tcMar>
            <w:vAlign w:val="center"/>
          </w:tcPr>
          <w:p>
            <w:pPr>
              <w:spacing w:after="0" w:line="264"/>
            </w:pPr>
            <w:r>
              <w:rPr>
                <w:b w:val="false"/>
                <w:bCs w:val="false"/>
              </w:rPr>
              <w:t xml:space="preserve">load_session_context</w:t>
            </w:r>
          </w:p>
        </w:tc>
        <w:tc>
          <w:tcPr>
            <w:tcW w:type="dxa" w:w="6240"/>
            <w:tcBorders>
              <w:top w:val="single" w:color="C9D6E5" w:sz="1"/>
              <w:left w:val="single" w:color="C9D6E5" w:sz="1"/>
              <w:bottom w:val="single" w:color="C9D6E5" w:sz="1"/>
              <w:right w:val="single" w:color="C9D6E5" w:sz="1"/>
            </w:tcBorders>
            <w:shd w:fill="F2F6FB" w:val="clear"/>
            <w:tcMar>
              <w:top w:type="dxa" w:w="80"/>
              <w:left w:type="dxa" w:w="120"/>
              <w:bottom w:type="dxa" w:w="80"/>
              <w:right w:type="dxa" w:w="120"/>
            </w:tcMar>
            <w:vAlign w:val="center"/>
          </w:tcPr>
          <w:p>
            <w:pPr>
              <w:spacing w:after="0" w:line="264"/>
            </w:pPr>
            <w:r>
              <w:rPr>
                <w:b w:val="false"/>
                <w:bCs w:val="false"/>
              </w:rPr>
              <w:t xml:space="preserve">Pull prior conversation/session state from Redis</w:t>
            </w:r>
          </w:p>
        </w:tc>
      </w:tr>
      <w:tr>
        <w:tc>
          <w:tcPr>
            <w:tcW w:type="dxa" w:w="3120"/>
            <w:tcBorders>
              <w:top w:val="single" w:color="C9D6E5" w:sz="1"/>
              <w:left w:val="single" w:color="C9D6E5" w:sz="1"/>
              <w:bottom w:val="single" w:color="C9D6E5" w:sz="1"/>
              <w:right w:val="single" w:color="C9D6E5" w:sz="1"/>
            </w:tcBorders>
            <w:shd w:fill="FFFFFF" w:val="clear"/>
            <w:tcMar>
              <w:top w:type="dxa" w:w="80"/>
              <w:left w:type="dxa" w:w="120"/>
              <w:bottom w:type="dxa" w:w="80"/>
              <w:right w:type="dxa" w:w="120"/>
            </w:tcMar>
            <w:vAlign w:val="center"/>
          </w:tcPr>
          <w:p>
            <w:pPr>
              <w:spacing w:after="0" w:line="264"/>
            </w:pPr>
            <w:r>
              <w:rPr>
                <w:b w:val="false"/>
                <w:bCs w:val="false"/>
              </w:rPr>
              <w:t xml:space="preserve">save_session_context</w:t>
            </w:r>
          </w:p>
        </w:tc>
        <w:tc>
          <w:tcPr>
            <w:tcW w:type="dxa" w:w="6240"/>
            <w:tcBorders>
              <w:top w:val="single" w:color="C9D6E5" w:sz="1"/>
              <w:left w:val="single" w:color="C9D6E5" w:sz="1"/>
              <w:bottom w:val="single" w:color="C9D6E5" w:sz="1"/>
              <w:right w:val="single" w:color="C9D6E5" w:sz="1"/>
            </w:tcBorders>
            <w:shd w:fill="FFFFFF" w:val="clear"/>
            <w:tcMar>
              <w:top w:type="dxa" w:w="80"/>
              <w:left w:type="dxa" w:w="120"/>
              <w:bottom w:type="dxa" w:w="80"/>
              <w:right w:type="dxa" w:w="120"/>
            </w:tcMar>
            <w:vAlign w:val="center"/>
          </w:tcPr>
          <w:p>
            <w:pPr>
              <w:spacing w:after="0" w:line="264"/>
            </w:pPr>
            <w:r>
              <w:rPr>
                <w:b w:val="false"/>
                <w:bCs w:val="false"/>
              </w:rPr>
              <w:t xml:space="preserve">Persist updated session state</w:t>
            </w:r>
          </w:p>
        </w:tc>
      </w:tr>
      <w:tr>
        <w:tc>
          <w:tcPr>
            <w:tcW w:type="dxa" w:w="3120"/>
            <w:tcBorders>
              <w:top w:val="single" w:color="C9D6E5" w:sz="1"/>
              <w:left w:val="single" w:color="C9D6E5" w:sz="1"/>
              <w:bottom w:val="single" w:color="C9D6E5" w:sz="1"/>
              <w:right w:val="single" w:color="C9D6E5" w:sz="1"/>
            </w:tcBorders>
            <w:shd w:fill="F2F6FB" w:val="clear"/>
            <w:tcMar>
              <w:top w:type="dxa" w:w="80"/>
              <w:left w:type="dxa" w:w="120"/>
              <w:bottom w:type="dxa" w:w="80"/>
              <w:right w:type="dxa" w:w="120"/>
            </w:tcMar>
            <w:vAlign w:val="center"/>
          </w:tcPr>
          <w:p>
            <w:pPr>
              <w:spacing w:after="0" w:line="264"/>
            </w:pPr>
            <w:r>
              <w:rPr>
                <w:b w:val="false"/>
                <w:bCs w:val="false"/>
              </w:rPr>
              <w:t xml:space="preserve">validate_output_safety</w:t>
            </w:r>
          </w:p>
        </w:tc>
        <w:tc>
          <w:tcPr>
            <w:tcW w:type="dxa" w:w="6240"/>
            <w:tcBorders>
              <w:top w:val="single" w:color="C9D6E5" w:sz="1"/>
              <w:left w:val="single" w:color="C9D6E5" w:sz="1"/>
              <w:bottom w:val="single" w:color="C9D6E5" w:sz="1"/>
              <w:right w:val="single" w:color="C9D6E5" w:sz="1"/>
            </w:tcBorders>
            <w:shd w:fill="F2F6FB" w:val="clear"/>
            <w:tcMar>
              <w:top w:type="dxa" w:w="80"/>
              <w:left w:type="dxa" w:w="120"/>
              <w:bottom w:type="dxa" w:w="80"/>
              <w:right w:type="dxa" w:w="120"/>
            </w:tcMar>
            <w:vAlign w:val="center"/>
          </w:tcPr>
          <w:p>
            <w:pPr>
              <w:spacing w:after="0" w:line="264"/>
            </w:pPr>
            <w:r>
              <w:rPr>
                <w:b w:val="false"/>
                <w:bCs w:val="false"/>
              </w:rPr>
              <w:t xml:space="preserve">Run the safety/compliance gate before anything is returned</w:t>
            </w:r>
          </w:p>
        </w:tc>
      </w:tr>
      <w:tr>
        <w:tc>
          <w:tcPr>
            <w:tcW w:type="dxa" w:w="3120"/>
            <w:tcBorders>
              <w:top w:val="single" w:color="C9D6E5" w:sz="1"/>
              <w:left w:val="single" w:color="C9D6E5" w:sz="1"/>
              <w:bottom w:val="single" w:color="C9D6E5" w:sz="1"/>
              <w:right w:val="single" w:color="C9D6E5" w:sz="1"/>
            </w:tcBorders>
            <w:shd w:fill="FFFFFF" w:val="clear"/>
            <w:tcMar>
              <w:top w:type="dxa" w:w="80"/>
              <w:left w:type="dxa" w:w="120"/>
              <w:bottom w:type="dxa" w:w="80"/>
              <w:right w:type="dxa" w:w="120"/>
            </w:tcMar>
            <w:vAlign w:val="center"/>
          </w:tcPr>
          <w:p>
            <w:pPr>
              <w:spacing w:after="0" w:line="264"/>
            </w:pPr>
            <w:r>
              <w:rPr>
                <w:b w:val="false"/>
                <w:bCs w:val="false"/>
              </w:rPr>
              <w:t xml:space="preserve">emit_orchestration_trace</w:t>
            </w:r>
          </w:p>
        </w:tc>
        <w:tc>
          <w:tcPr>
            <w:tcW w:type="dxa" w:w="6240"/>
            <w:tcBorders>
              <w:top w:val="single" w:color="C9D6E5" w:sz="1"/>
              <w:left w:val="single" w:color="C9D6E5" w:sz="1"/>
              <w:bottom w:val="single" w:color="C9D6E5" w:sz="1"/>
              <w:right w:val="single" w:color="C9D6E5" w:sz="1"/>
            </w:tcBorders>
            <w:shd w:fill="FFFFFF" w:val="clear"/>
            <w:tcMar>
              <w:top w:type="dxa" w:w="80"/>
              <w:left w:type="dxa" w:w="120"/>
              <w:bottom w:type="dxa" w:w="80"/>
              <w:right w:type="dxa" w:w="120"/>
            </w:tcMar>
            <w:vAlign w:val="center"/>
          </w:tcPr>
          <w:p>
            <w:pPr>
              <w:spacing w:after="0" w:line="264"/>
            </w:pPr>
            <w:r>
              <w:rPr>
                <w:b w:val="false"/>
                <w:bCs w:val="false"/>
              </w:rPr>
              <w:t xml:space="preserve">Write the decision trace for observability and audit</w:t>
            </w:r>
          </w:p>
        </w:tc>
      </w:tr>
    </w:tbl>
    <w:p>
      <w:pPr>
        <w:pStyle w:val="Heading2"/>
      </w:pPr>
      <w:r>
        <w:t xml:space="preserve">Strategy 3 — Five specialists, each with exactly two tools</w:t>
      </w:r>
    </w:p>
    <w:p>
      <w:pPr>
        <w:spacing w:after="160" w:line="276"/>
      </w:pPr>
      <w:r>
        <w:rPr>
          <w:b w:val="false"/>
          <w:bCs w:val="false"/>
          <w:i w:val="false"/>
          <w:iCs w:val="false"/>
        </w:rPr>
        <w:t xml:space="preserve">Each specialist agent has precisely two tools — one retrieval, one generation. This symmetry keeps agents simple, stateless, and independently testable. Fifteen tools total across six agents (5 orchestrator + 2×5 specialists).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380"/>
        <w:gridCol w:w="3780"/>
      </w:tblGrid>
      <w:tr>
        <w:trPr>
          <w:tblHeader/>
        </w:trPr>
        <w:tc>
          <w:tcPr>
            <w:tcW w:type="dxa" w:w="2200"/>
            <w:tcBorders>
              <w:top w:val="single" w:color="C9D6E5" w:sz="1"/>
              <w:left w:val="single" w:color="C9D6E5" w:sz="1"/>
              <w:bottom w:val="single" w:color="C9D6E5" w:sz="1"/>
              <w:right w:val="single" w:color="C9D6E5" w:sz="1"/>
            </w:tcBorders>
            <w:shd w:fill="1F3864" w:val="clear"/>
            <w:tcMar>
              <w:top w:type="dxa" w:w="80"/>
              <w:left w:type="dxa" w:w="120"/>
              <w:bottom w:type="dxa" w:w="80"/>
              <w:right w:type="dxa" w:w="120"/>
            </w:tcMar>
            <w:vAlign w:val="center"/>
          </w:tcPr>
          <w:p>
            <w:pPr>
              <w:spacing w:after="0" w:line="264"/>
            </w:pPr>
            <w:r>
              <w:rPr>
                <w:b/>
                <w:bCs/>
                <w:color w:val="FFFFFF"/>
              </w:rPr>
              <w:t xml:space="preserve">Agent</w:t>
            </w:r>
          </w:p>
        </w:tc>
        <w:tc>
          <w:tcPr>
            <w:tcW w:type="dxa" w:w="3380"/>
            <w:tcBorders>
              <w:top w:val="single" w:color="C9D6E5" w:sz="1"/>
              <w:left w:val="single" w:color="C9D6E5" w:sz="1"/>
              <w:bottom w:val="single" w:color="C9D6E5" w:sz="1"/>
              <w:right w:val="single" w:color="C9D6E5" w:sz="1"/>
            </w:tcBorders>
            <w:shd w:fill="1F3864" w:val="clear"/>
            <w:tcMar>
              <w:top w:type="dxa" w:w="80"/>
              <w:left w:type="dxa" w:w="120"/>
              <w:bottom w:type="dxa" w:w="80"/>
              <w:right w:type="dxa" w:w="120"/>
            </w:tcMar>
            <w:vAlign w:val="center"/>
          </w:tcPr>
          <w:p>
            <w:pPr>
              <w:spacing w:after="0" w:line="264"/>
            </w:pPr>
            <w:r>
              <w:rPr>
                <w:b/>
                <w:bCs/>
                <w:color w:val="FFFFFF"/>
              </w:rPr>
              <w:t xml:space="preserve">Responsibility</w:t>
            </w:r>
          </w:p>
        </w:tc>
        <w:tc>
          <w:tcPr>
            <w:tcW w:type="dxa" w:w="3780"/>
            <w:tcBorders>
              <w:top w:val="single" w:color="C9D6E5" w:sz="1"/>
              <w:left w:val="single" w:color="C9D6E5" w:sz="1"/>
              <w:bottom w:val="single" w:color="C9D6E5" w:sz="1"/>
              <w:right w:val="single" w:color="C9D6E5" w:sz="1"/>
            </w:tcBorders>
            <w:shd w:fill="1F3864" w:val="clear"/>
            <w:tcMar>
              <w:top w:type="dxa" w:w="80"/>
              <w:left w:type="dxa" w:w="120"/>
              <w:bottom w:type="dxa" w:w="80"/>
              <w:right w:type="dxa" w:w="120"/>
            </w:tcMar>
            <w:vAlign w:val="center"/>
          </w:tcPr>
          <w:p>
            <w:pPr>
              <w:spacing w:after="0" w:line="264"/>
            </w:pPr>
            <w:r>
              <w:rPr>
                <w:b/>
                <w:bCs/>
                <w:color w:val="FFFFFF"/>
              </w:rPr>
              <w:t xml:space="preserve">Tools (retrieve + generate)</w:t>
            </w:r>
          </w:p>
        </w:tc>
      </w:tr>
      <w:tr>
        <w:tc>
          <w:tcPr>
            <w:tcW w:type="dxa" w:w="2200"/>
            <w:tcBorders>
              <w:top w:val="single" w:color="C9D6E5" w:sz="1"/>
              <w:left w:val="single" w:color="C9D6E5" w:sz="1"/>
              <w:bottom w:val="single" w:color="C9D6E5" w:sz="1"/>
              <w:right w:val="single" w:color="C9D6E5" w:sz="1"/>
            </w:tcBorders>
            <w:shd w:fill="FFFFFF" w:val="clear"/>
            <w:tcMar>
              <w:top w:type="dxa" w:w="80"/>
              <w:left w:type="dxa" w:w="120"/>
              <w:bottom w:type="dxa" w:w="80"/>
              <w:right w:type="dxa" w:w="120"/>
            </w:tcMar>
            <w:vAlign w:val="center"/>
          </w:tcPr>
          <w:p>
            <w:pPr>
              <w:spacing w:after="0" w:line="264"/>
            </w:pPr>
            <w:r>
              <w:rPr>
                <w:b w:val="false"/>
                <w:bCs w:val="false"/>
              </w:rPr>
              <w:t xml:space="preserve">Knowledge</w:t>
            </w:r>
          </w:p>
        </w:tc>
        <w:tc>
          <w:tcPr>
            <w:tcW w:type="dxa" w:w="3380"/>
            <w:tcBorders>
              <w:top w:val="single" w:color="C9D6E5" w:sz="1"/>
              <w:left w:val="single" w:color="C9D6E5" w:sz="1"/>
              <w:bottom w:val="single" w:color="C9D6E5" w:sz="1"/>
              <w:right w:val="single" w:color="C9D6E5" w:sz="1"/>
            </w:tcBorders>
            <w:shd w:fill="FFFFFF" w:val="clear"/>
            <w:tcMar>
              <w:top w:type="dxa" w:w="80"/>
              <w:left w:type="dxa" w:w="120"/>
              <w:bottom w:type="dxa" w:w="80"/>
              <w:right w:type="dxa" w:w="120"/>
            </w:tcMar>
            <w:vAlign w:val="center"/>
          </w:tcPr>
          <w:p>
            <w:pPr>
              <w:spacing w:after="0" w:line="264"/>
            </w:pPr>
            <w:r>
              <w:rPr>
                <w:b w:val="false"/>
                <w:bCs w:val="false"/>
              </w:rPr>
              <w:t xml:space="preserve">General scientific Q&amp;A and synthesis across the corpus</w:t>
            </w:r>
          </w:p>
        </w:tc>
        <w:tc>
          <w:tcPr>
            <w:tcW w:type="dxa" w:w="3780"/>
            <w:tcBorders>
              <w:top w:val="single" w:color="C9D6E5" w:sz="1"/>
              <w:left w:val="single" w:color="C9D6E5" w:sz="1"/>
              <w:bottom w:val="single" w:color="C9D6E5" w:sz="1"/>
              <w:right w:val="single" w:color="C9D6E5" w:sz="1"/>
            </w:tcBorders>
            <w:shd w:fill="FFFFFF" w:val="clear"/>
            <w:tcMar>
              <w:top w:type="dxa" w:w="80"/>
              <w:left w:type="dxa" w:w="120"/>
              <w:bottom w:type="dxa" w:w="80"/>
              <w:right w:type="dxa" w:w="120"/>
            </w:tcMar>
            <w:vAlign w:val="center"/>
          </w:tcPr>
          <w:p>
            <w:pPr>
              <w:spacing w:after="0" w:line="264"/>
            </w:pPr>
            <w:r>
              <w:rPr>
                <w:b w:val="false"/>
                <w:bCs w:val="false"/>
              </w:rPr>
              <w:t xml:space="preserve">search_enterprise_knowledge / synthesize_knowledge_answer</w:t>
            </w:r>
          </w:p>
        </w:tc>
      </w:tr>
      <w:tr>
        <w:tc>
          <w:tcPr>
            <w:tcW w:type="dxa" w:w="2200"/>
            <w:tcBorders>
              <w:top w:val="single" w:color="C9D6E5" w:sz="1"/>
              <w:left w:val="single" w:color="C9D6E5" w:sz="1"/>
              <w:bottom w:val="single" w:color="C9D6E5" w:sz="1"/>
              <w:right w:val="single" w:color="C9D6E5" w:sz="1"/>
            </w:tcBorders>
            <w:shd w:fill="F2F6FB" w:val="clear"/>
            <w:tcMar>
              <w:top w:type="dxa" w:w="80"/>
              <w:left w:type="dxa" w:w="120"/>
              <w:bottom w:type="dxa" w:w="80"/>
              <w:right w:type="dxa" w:w="120"/>
            </w:tcMar>
            <w:vAlign w:val="center"/>
          </w:tcPr>
          <w:p>
            <w:pPr>
              <w:spacing w:after="0" w:line="264"/>
            </w:pPr>
            <w:r>
              <w:rPr>
                <w:b w:val="false"/>
                <w:bCs w:val="false"/>
              </w:rPr>
              <w:t xml:space="preserve">Ontology</w:t>
            </w:r>
          </w:p>
        </w:tc>
        <w:tc>
          <w:tcPr>
            <w:tcW w:type="dxa" w:w="3380"/>
            <w:tcBorders>
              <w:top w:val="single" w:color="C9D6E5" w:sz="1"/>
              <w:left w:val="single" w:color="C9D6E5" w:sz="1"/>
              <w:bottom w:val="single" w:color="C9D6E5" w:sz="1"/>
              <w:right w:val="single" w:color="C9D6E5" w:sz="1"/>
            </w:tcBorders>
            <w:shd w:fill="F2F6FB" w:val="clear"/>
            <w:tcMar>
              <w:top w:type="dxa" w:w="80"/>
              <w:left w:type="dxa" w:w="120"/>
              <w:bottom w:type="dxa" w:w="80"/>
              <w:right w:type="dxa" w:w="120"/>
            </w:tcMar>
            <w:vAlign w:val="center"/>
          </w:tcPr>
          <w:p>
            <w:pPr>
              <w:spacing w:after="0" w:line="264"/>
            </w:pPr>
            <w:r>
              <w:rPr>
                <w:b w:val="false"/>
                <w:bCs w:val="false"/>
              </w:rPr>
              <w:t xml:space="preserve">Biomedical concept resolution (RxNorm, MedDRA, NCT)</w:t>
            </w:r>
          </w:p>
        </w:tc>
        <w:tc>
          <w:tcPr>
            <w:tcW w:type="dxa" w:w="3780"/>
            <w:tcBorders>
              <w:top w:val="single" w:color="C9D6E5" w:sz="1"/>
              <w:left w:val="single" w:color="C9D6E5" w:sz="1"/>
              <w:bottom w:val="single" w:color="C9D6E5" w:sz="1"/>
              <w:right w:val="single" w:color="C9D6E5" w:sz="1"/>
            </w:tcBorders>
            <w:shd w:fill="F2F6FB" w:val="clear"/>
            <w:tcMar>
              <w:top w:type="dxa" w:w="80"/>
              <w:left w:type="dxa" w:w="120"/>
              <w:bottom w:type="dxa" w:w="80"/>
              <w:right w:type="dxa" w:w="120"/>
            </w:tcMar>
            <w:vAlign w:val="center"/>
          </w:tcPr>
          <w:p>
            <w:pPr>
              <w:spacing w:after="0" w:line="264"/>
            </w:pPr>
            <w:r>
              <w:rPr>
                <w:b w:val="false"/>
                <w:bCs w:val="false"/>
              </w:rPr>
              <w:t xml:space="preserve">search_ontology_index / generate_ontology_response</w:t>
            </w:r>
          </w:p>
        </w:tc>
      </w:tr>
      <w:tr>
        <w:tc>
          <w:tcPr>
            <w:tcW w:type="dxa" w:w="2200"/>
            <w:tcBorders>
              <w:top w:val="single" w:color="C9D6E5" w:sz="1"/>
              <w:left w:val="single" w:color="C9D6E5" w:sz="1"/>
              <w:bottom w:val="single" w:color="C9D6E5" w:sz="1"/>
              <w:right w:val="single" w:color="C9D6E5" w:sz="1"/>
            </w:tcBorders>
            <w:shd w:fill="FFFFFF" w:val="clear"/>
            <w:tcMar>
              <w:top w:type="dxa" w:w="80"/>
              <w:left w:type="dxa" w:w="120"/>
              <w:bottom w:type="dxa" w:w="80"/>
              <w:right w:type="dxa" w:w="120"/>
            </w:tcMar>
            <w:vAlign w:val="center"/>
          </w:tcPr>
          <w:p>
            <w:pPr>
              <w:spacing w:after="0" w:line="264"/>
            </w:pPr>
            <w:r>
              <w:rPr>
                <w:b w:val="false"/>
                <w:bCs w:val="false"/>
              </w:rPr>
              <w:t xml:space="preserve">Drug Safety &amp; Compliance</w:t>
            </w:r>
          </w:p>
        </w:tc>
        <w:tc>
          <w:tcPr>
            <w:tcW w:type="dxa" w:w="3380"/>
            <w:tcBorders>
              <w:top w:val="single" w:color="C9D6E5" w:sz="1"/>
              <w:left w:val="single" w:color="C9D6E5" w:sz="1"/>
              <w:bottom w:val="single" w:color="C9D6E5" w:sz="1"/>
              <w:right w:val="single" w:color="C9D6E5" w:sz="1"/>
            </w:tcBorders>
            <w:shd w:fill="FFFFFF" w:val="clear"/>
            <w:tcMar>
              <w:top w:type="dxa" w:w="80"/>
              <w:left w:type="dxa" w:w="120"/>
              <w:bottom w:type="dxa" w:w="80"/>
              <w:right w:type="dxa" w:w="120"/>
            </w:tcMar>
            <w:vAlign w:val="center"/>
          </w:tcPr>
          <w:p>
            <w:pPr>
              <w:spacing w:after="0" w:line="264"/>
            </w:pPr>
            <w:r>
              <w:rPr>
                <w:b w:val="false"/>
                <w:bCs w:val="false"/>
              </w:rPr>
              <w:t xml:space="preserve">Pharmacovigilance rules, causality, regulatory compliance</w:t>
            </w:r>
          </w:p>
        </w:tc>
        <w:tc>
          <w:tcPr>
            <w:tcW w:type="dxa" w:w="3780"/>
            <w:tcBorders>
              <w:top w:val="single" w:color="C9D6E5" w:sz="1"/>
              <w:left w:val="single" w:color="C9D6E5" w:sz="1"/>
              <w:bottom w:val="single" w:color="C9D6E5" w:sz="1"/>
              <w:right w:val="single" w:color="C9D6E5" w:sz="1"/>
            </w:tcBorders>
            <w:shd w:fill="FFFFFF" w:val="clear"/>
            <w:tcMar>
              <w:top w:type="dxa" w:w="80"/>
              <w:left w:type="dxa" w:w="120"/>
              <w:bottom w:type="dxa" w:w="80"/>
              <w:right w:type="dxa" w:w="120"/>
            </w:tcMar>
            <w:vAlign w:val="center"/>
          </w:tcPr>
          <w:p>
            <w:pPr>
              <w:spacing w:after="0" w:line="264"/>
            </w:pPr>
            <w:r>
              <w:rPr>
                <w:b w:val="false"/>
                <w:bCs w:val="false"/>
              </w:rPr>
              <w:t xml:space="preserve">search_compliance_rules / generate_compliance_response</w:t>
            </w:r>
          </w:p>
        </w:tc>
      </w:tr>
      <w:tr>
        <w:tc>
          <w:tcPr>
            <w:tcW w:type="dxa" w:w="2200"/>
            <w:tcBorders>
              <w:top w:val="single" w:color="C9D6E5" w:sz="1"/>
              <w:left w:val="single" w:color="C9D6E5" w:sz="1"/>
              <w:bottom w:val="single" w:color="C9D6E5" w:sz="1"/>
              <w:right w:val="single" w:color="C9D6E5" w:sz="1"/>
            </w:tcBorders>
            <w:shd w:fill="F2F6FB" w:val="clear"/>
            <w:tcMar>
              <w:top w:type="dxa" w:w="80"/>
              <w:left w:type="dxa" w:w="120"/>
              <w:bottom w:type="dxa" w:w="80"/>
              <w:right w:type="dxa" w:w="120"/>
            </w:tcMar>
            <w:vAlign w:val="center"/>
          </w:tcPr>
          <w:p>
            <w:pPr>
              <w:spacing w:after="0" w:line="264"/>
            </w:pPr>
            <w:r>
              <w:rPr>
                <w:b w:val="false"/>
                <w:bCs w:val="false"/>
              </w:rPr>
              <w:t xml:space="preserve">Quality Assurance</w:t>
            </w:r>
          </w:p>
        </w:tc>
        <w:tc>
          <w:tcPr>
            <w:tcW w:type="dxa" w:w="3380"/>
            <w:tcBorders>
              <w:top w:val="single" w:color="C9D6E5" w:sz="1"/>
              <w:left w:val="single" w:color="C9D6E5" w:sz="1"/>
              <w:bottom w:val="single" w:color="C9D6E5" w:sz="1"/>
              <w:right w:val="single" w:color="C9D6E5" w:sz="1"/>
            </w:tcBorders>
            <w:shd w:fill="F2F6FB" w:val="clear"/>
            <w:tcMar>
              <w:top w:type="dxa" w:w="80"/>
              <w:left w:type="dxa" w:w="120"/>
              <w:bottom w:type="dxa" w:w="80"/>
              <w:right w:type="dxa" w:w="120"/>
            </w:tcMar>
            <w:vAlign w:val="center"/>
          </w:tcPr>
          <w:p>
            <w:pPr>
              <w:spacing w:after="0" w:line="264"/>
            </w:pPr>
            <w:r>
              <w:rPr>
                <w:b w:val="false"/>
                <w:bCs w:val="false"/>
              </w:rPr>
              <w:t xml:space="preserve">GxP / GMP / GCP / GLP validation, gap analysis, audit readiness</w:t>
            </w:r>
          </w:p>
        </w:tc>
        <w:tc>
          <w:tcPr>
            <w:tcW w:type="dxa" w:w="3780"/>
            <w:tcBorders>
              <w:top w:val="single" w:color="C9D6E5" w:sz="1"/>
              <w:left w:val="single" w:color="C9D6E5" w:sz="1"/>
              <w:bottom w:val="single" w:color="C9D6E5" w:sz="1"/>
              <w:right w:val="single" w:color="C9D6E5" w:sz="1"/>
            </w:tcBorders>
            <w:shd w:fill="F2F6FB" w:val="clear"/>
            <w:tcMar>
              <w:top w:type="dxa" w:w="80"/>
              <w:left w:type="dxa" w:w="120"/>
              <w:bottom w:type="dxa" w:w="80"/>
              <w:right w:type="dxa" w:w="120"/>
            </w:tcMar>
            <w:vAlign w:val="center"/>
          </w:tcPr>
          <w:p>
            <w:pPr>
              <w:spacing w:after="0" w:line="264"/>
            </w:pPr>
            <w:r>
              <w:rPr>
                <w:b w:val="false"/>
                <w:bCs w:val="false"/>
              </w:rPr>
              <w:t xml:space="preserve">search_qa_standards / generate_qa_assessment</w:t>
            </w:r>
          </w:p>
        </w:tc>
      </w:tr>
      <w:tr>
        <w:tc>
          <w:tcPr>
            <w:tcW w:type="dxa" w:w="2200"/>
            <w:tcBorders>
              <w:top w:val="single" w:color="C9D6E5" w:sz="1"/>
              <w:left w:val="single" w:color="C9D6E5" w:sz="1"/>
              <w:bottom w:val="single" w:color="C9D6E5" w:sz="1"/>
              <w:right w:val="single" w:color="C9D6E5" w:sz="1"/>
            </w:tcBorders>
            <w:shd w:fill="FFFFFF" w:val="clear"/>
            <w:tcMar>
              <w:top w:type="dxa" w:w="80"/>
              <w:left w:type="dxa" w:w="120"/>
              <w:bottom w:type="dxa" w:w="80"/>
              <w:right w:type="dxa" w:w="120"/>
            </w:tcMar>
            <w:vAlign w:val="center"/>
          </w:tcPr>
          <w:p>
            <w:pPr>
              <w:spacing w:after="0" w:line="264"/>
            </w:pPr>
            <w:r>
              <w:rPr>
                <w:b w:val="false"/>
                <w:bCs w:val="false"/>
              </w:rPr>
              <w:t xml:space="preserve">Summarization</w:t>
            </w:r>
          </w:p>
        </w:tc>
        <w:tc>
          <w:tcPr>
            <w:tcW w:type="dxa" w:w="3380"/>
            <w:tcBorders>
              <w:top w:val="single" w:color="C9D6E5" w:sz="1"/>
              <w:left w:val="single" w:color="C9D6E5" w:sz="1"/>
              <w:bottom w:val="single" w:color="C9D6E5" w:sz="1"/>
              <w:right w:val="single" w:color="C9D6E5" w:sz="1"/>
            </w:tcBorders>
            <w:shd w:fill="FFFFFF" w:val="clear"/>
            <w:tcMar>
              <w:top w:type="dxa" w:w="80"/>
              <w:left w:type="dxa" w:w="120"/>
              <w:bottom w:type="dxa" w:w="80"/>
              <w:right w:type="dxa" w:w="120"/>
            </w:tcMar>
            <w:vAlign w:val="center"/>
          </w:tcPr>
          <w:p>
            <w:pPr>
              <w:spacing w:after="0" w:line="264"/>
            </w:pPr>
            <w:r>
              <w:rPr>
                <w:b w:val="false"/>
                <w:bCs w:val="false"/>
              </w:rPr>
              <w:t xml:space="preserve">Long-document summarization (CSRs, PSURs, submissions)</w:t>
            </w:r>
          </w:p>
        </w:tc>
        <w:tc>
          <w:tcPr>
            <w:tcW w:type="dxa" w:w="3780"/>
            <w:tcBorders>
              <w:top w:val="single" w:color="C9D6E5" w:sz="1"/>
              <w:left w:val="single" w:color="C9D6E5" w:sz="1"/>
              <w:bottom w:val="single" w:color="C9D6E5" w:sz="1"/>
              <w:right w:val="single" w:color="C9D6E5" w:sz="1"/>
            </w:tcBorders>
            <w:shd w:fill="FFFFFF" w:val="clear"/>
            <w:tcMar>
              <w:top w:type="dxa" w:w="80"/>
              <w:left w:type="dxa" w:w="120"/>
              <w:bottom w:type="dxa" w:w="80"/>
              <w:right w:type="dxa" w:w="120"/>
            </w:tcMar>
            <w:vAlign w:val="center"/>
          </w:tcPr>
          <w:p>
            <w:pPr>
              <w:spacing w:after="0" w:line="264"/>
            </w:pPr>
            <w:r>
              <w:rPr>
                <w:b w:val="false"/>
                <w:bCs w:val="false"/>
              </w:rPr>
              <w:t xml:space="preserve">fetch_and_chunk_document / generate_summary</w:t>
            </w:r>
          </w:p>
        </w:tc>
      </w:tr>
    </w:tbl>
    <w:p>
      <w:pPr>
        <w:spacing w:after="160" w:line="276"/>
      </w:pPr>
      <w:r>
        <w:rPr>
          <w:b/>
          <w:bCs/>
          <w:i/>
          <w:iCs/>
        </w:rPr>
        <w:t xml:space="preserve">Worth correcting if asked: </w:t>
      </w:r>
      <w:r>
        <w:rPr>
          <w:b w:val="false"/>
          <w:bCs w:val="false"/>
          <w:i/>
          <w:iCs/>
        </w:rPr>
        <w:t xml:space="preserve">QA means Quality Assurance — GxP/GMP/GCP/GLP document validation and audit readiness — not “question and answer.” That distinction matters in a pharma context.</w:t>
      </w:r>
    </w:p>
    <w:p>
      <w:pPr>
        <w:pStyle w:val="Heading2"/>
      </w:pPr>
      <w:r>
        <w:t xml:space="preserve">Strategy 4 — Stateless agents, externalized state</w:t>
      </w:r>
    </w:p>
    <w:p>
      <w:pPr>
        <w:spacing w:after="160" w:line="276"/>
      </w:pPr>
      <w:r>
        <w:rPr>
          <w:b w:val="false"/>
          <w:bCs w:val="false"/>
          <w:i w:val="false"/>
          <w:iCs w:val="false"/>
        </w:rPr>
        <w:t xml:space="preserve">Agents hold no state between calls. Session state lives in Azure Cache for Redis; durable audit and saga state live in Cosmos DB. This is what lets agents scale horizontally on AKS and be retried safely — any replica can handle any request.</w:t>
      </w:r>
    </w:p>
    <w:p>
      <w:pPr>
        <w:pStyle w:val="Heading2"/>
      </w:pPr>
      <w:r>
        <w:t xml:space="preserve">Strategy 5 — Service Bus pub/sub for agent-to-agent coordination</w:t>
      </w:r>
    </w:p>
    <w:p>
      <w:pPr>
        <w:spacing w:after="160" w:line="276"/>
      </w:pPr>
      <w:r>
        <w:rPr>
          <w:b w:val="false"/>
          <w:bCs w:val="false"/>
          <w:i w:val="false"/>
          <w:iCs w:val="false"/>
        </w:rPr>
        <w:t xml:space="preserve">Agents do not call each other directly. They publish events to Azure Service Bus topics and subscribe to the topics they care about. The Knowledge agent surfaces a finding; Drug Safety subscribes and reacts — without either knowing the other exists. This loose coupling means a sixth agent can be added later without touching the existing five.</w:t>
      </w:r>
    </w:p>
    <w:p>
      <w:pPr>
        <w:pStyle w:val="ListParagraph"/>
        <w:numPr>
          <w:ilvl w:val="0"/>
          <w:numId w:val="2"/>
        </w:numPr>
        <w:spacing w:after="80" w:line="270"/>
      </w:pPr>
      <w:r>
        <w:rPr>
          <w:b/>
          <w:bCs/>
          <w:i w:val="false"/>
          <w:iCs w:val="false"/>
        </w:rPr>
        <w:t xml:space="preserve">Topics: </w:t>
      </w:r>
      <w:r>
        <w:t xml:space="preserve">dispatch, responses, safety, ontology, discoveries, compliance. The orchestrator publishes dispatch and subscribes to responses, safety, and compliance; specialists publish to responses; Drug Safety publishes safety and compliance; Ontology publishes ontology; Knowledge publishes discoveries.</w:t>
      </w:r>
    </w:p>
    <w:p>
      <w:pPr>
        <w:pStyle w:val="ListParagraph"/>
        <w:numPr>
          <w:ilvl w:val="0"/>
          <w:numId w:val="2"/>
        </w:numPr>
        <w:spacing w:after="80" w:line="270"/>
      </w:pPr>
      <w:r>
        <w:rPr>
          <w:b/>
          <w:bCs/>
          <w:i w:val="false"/>
          <w:iCs w:val="false"/>
        </w:rPr>
        <w:t xml:space="preserve">Sagas for multi-step workflows: </w:t>
      </w:r>
      <w:r>
        <w:t xml:space="preserve">a request like “review all post-market reports for compound X” fans across Knowledge → Drug Safety → Compliance → Summarization. Service Bus sessions plus message correlation IDs stitch those steps into one logical transaction, with saga state tracked in Cosmos DB.</w:t>
      </w:r>
    </w:p>
    <w:p>
      <w:pPr>
        <w:pStyle w:val="ListParagraph"/>
        <w:numPr>
          <w:ilvl w:val="0"/>
          <w:numId w:val="2"/>
        </w:numPr>
        <w:spacing w:after="80" w:line="270"/>
      </w:pPr>
      <w:r>
        <w:rPr>
          <w:b/>
          <w:bCs/>
          <w:i w:val="false"/>
          <w:iCs w:val="false"/>
        </w:rPr>
        <w:t xml:space="preserve">Dead-letter queue as audit goldmine: </w:t>
      </w:r>
      <w:r>
        <w:t xml:space="preserve">every poison message lands in the DLQ with its full payload. In a regulated environment that’s not just operational hygiene — it’s evidence.</w:t>
      </w:r>
    </w:p>
    <w:tbl>
      <w:tblPr>
        <w:tblW w:type="dxa" w:w="9360"/>
        <w:tblBorders>
          <w:top w:val="single" w:color="F4F8FC" w:sz="1"/>
          <w:left w:val="single" w:color="2E8B8B" w:sz="24"/>
          <w:bottom w:val="single" w:color="F4F8FC" w:sz="1"/>
          <w:right w:val="single" w:color="F4F8FC" w:sz="1"/>
          <w:insideH w:val="single" w:color="auto" w:sz="4"/>
          <w:insideV w:val="single" w:color="auto" w:sz="4"/>
        </w:tblBorders>
      </w:tblPr>
      <w:tblGrid>
        <w:gridCol w:w="9360"/>
      </w:tblGrid>
      <w:tr>
        <w:tc>
          <w:tcPr>
            <w:tcW w:type="dxa" w:w="9360"/>
            <w:shd w:fill="F4F8FC" w:val="clear"/>
            <w:tcMar>
              <w:top w:type="dxa" w:w="120"/>
              <w:left w:type="dxa" w:w="200"/>
              <w:bottom w:type="dxa" w:w="120"/>
              <w:right w:type="dxa" w:w="200"/>
            </w:tcMar>
          </w:tcPr>
          <w:p>
            <w:pPr>
              <w:spacing w:after="60"/>
            </w:pPr>
            <w:r>
              <w:rPr>
                <w:b/>
                <w:bCs/>
                <w:color w:val="1F3864"/>
              </w:rPr>
              <w:t xml:space="preserve">Event Hub vs Service Bus — know the difference</w:t>
            </w:r>
          </w:p>
          <w:p>
            <w:r>
              <w:t xml:space="preserve">Event Hub is high-throughput streaming ingestion (millions of events, partitioned consumers, replay) — it sits in the document-ingestion pipeline and telemetry fan-out. Service Bus is transactional, ordered, lower-throughput messaging (thousands/minute) where each message matters — it’s the inter-agent coordination rail. Reaching for the right one is the nuance that reads as senior.</w:t>
            </w:r>
          </w:p>
        </w:tc>
      </w:tr>
    </w:tbl>
    <w:p>
      <w:pPr>
        <w:pStyle w:val="Heading2"/>
      </w:pPr>
      <w:r>
        <w:t xml:space="preserve">Strategy 6 — Observability built in, not bolted on</w:t>
      </w:r>
    </w:p>
    <w:p>
      <w:pPr>
        <w:spacing w:after="160" w:line="276"/>
      </w:pPr>
      <w:r>
        <w:rPr>
          <w:b w:val="false"/>
          <w:bCs w:val="false"/>
          <w:i w:val="false"/>
          <w:iCs w:val="false"/>
        </w:rPr>
        <w:t xml:space="preserve">Every request carries a correlation ID propagated across the orchestrator, agents, and tool calls. OpenTelemetry spans flow through an OTel Collector to Application Insights (operational), Managed Prometheus (metrics), and Log Analytics (logs); structured audit records land in Cosmos DB. For any output we can reconstruct the model version, prompt version, retrieved sources, and full decision path — which is exactly what an FDA/EMA audit asks for.</w:t>
      </w:r>
    </w:p>
    <w:p>
      <w:r>
        <w:br w:type="page"/>
      </w:r>
    </w:p>
    <w:p>
      <w:pPr>
        <w:pStyle w:val="Heading1"/>
      </w:pPr>
      <w:r>
        <w:t xml:space="preserve">6. The Evaluation Framework</w:t>
      </w:r>
    </w:p>
    <w:tbl>
      <w:tblPr>
        <w:tblW w:type="dxa" w:w="9360"/>
        <w:tblBorders>
          <w:top w:val="single" w:color="EAF1F8" w:sz="1"/>
          <w:left w:val="single" w:color="2E75B6" w:sz="24"/>
          <w:bottom w:val="single" w:color="EAF1F8" w:sz="1"/>
          <w:right w:val="single" w:color="EAF1F8" w:sz="1"/>
          <w:insideH w:val="single" w:color="auto" w:sz="4"/>
          <w:insideV w:val="single" w:color="auto" w:sz="4"/>
        </w:tblBorders>
      </w:tblPr>
      <w:tblGrid>
        <w:gridCol w:w="9360"/>
      </w:tblGrid>
      <w:tr>
        <w:tc>
          <w:tcPr>
            <w:tcW w:type="dxa" w:w="9360"/>
            <w:shd w:fill="EAF1F8" w:val="clear"/>
            <w:tcMar>
              <w:top w:type="dxa" w:w="120"/>
              <w:left w:type="dxa" w:w="200"/>
              <w:bottom w:type="dxa" w:w="120"/>
              <w:right w:type="dxa" w:w="200"/>
            </w:tcMar>
          </w:tcPr>
          <w:p>
            <w:pPr>
              <w:spacing w:after="60"/>
            </w:pPr>
            <w:r>
              <w:rPr>
                <w:b/>
                <w:bCs/>
                <w:color w:val="1F3864"/>
              </w:rPr>
              <w:t xml:space="preserve">Thesis (lead with this)</w:t>
            </w:r>
          </w:p>
          <w:p>
            <w:r>
              <w:t xml:space="preserve">“I don’t treat evaluation as a RAGAS score in a notebook. I run a layered eval program — retrieval, generation, the agent/orchestration layer, end-to-end tasks, a safety/compliance gate, operational monitoring, and human review — all wrapped in validated, version-controlled eval sets because we’re under FDA/EMA. The agent layer and the regulatory wrapper are what separate a production system from a demo.”</w:t>
            </w:r>
          </w:p>
        </w:tc>
      </w:tr>
    </w:tbl>
    <w:p>
      <w:pPr>
        <w:pStyle w:val="Heading2"/>
      </w:pPr>
      <w:r>
        <w:t xml:space="preserve">The seven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060"/>
        <w:gridCol w:w="3400"/>
      </w:tblGrid>
      <w:tr>
        <w:trPr>
          <w:tblHeader/>
        </w:trPr>
        <w:tc>
          <w:tcPr>
            <w:tcW w:type="dxa" w:w="1900"/>
            <w:tcBorders>
              <w:top w:val="single" w:color="C9D6E5" w:sz="1"/>
              <w:left w:val="single" w:color="C9D6E5" w:sz="1"/>
              <w:bottom w:val="single" w:color="C9D6E5" w:sz="1"/>
              <w:right w:val="single" w:color="C9D6E5" w:sz="1"/>
            </w:tcBorders>
            <w:shd w:fill="1F3864" w:val="clear"/>
            <w:tcMar>
              <w:top w:type="dxa" w:w="80"/>
              <w:left w:type="dxa" w:w="120"/>
              <w:bottom w:type="dxa" w:w="80"/>
              <w:right w:type="dxa" w:w="120"/>
            </w:tcMar>
            <w:vAlign w:val="center"/>
          </w:tcPr>
          <w:p>
            <w:pPr>
              <w:spacing w:after="0" w:line="264"/>
            </w:pPr>
            <w:r>
              <w:rPr>
                <w:b/>
                <w:bCs/>
                <w:color w:val="FFFFFF"/>
              </w:rPr>
              <w:t xml:space="preserve">Layer</w:t>
            </w:r>
          </w:p>
        </w:tc>
        <w:tc>
          <w:tcPr>
            <w:tcW w:type="dxa" w:w="4060"/>
            <w:tcBorders>
              <w:top w:val="single" w:color="C9D6E5" w:sz="1"/>
              <w:left w:val="single" w:color="C9D6E5" w:sz="1"/>
              <w:bottom w:val="single" w:color="C9D6E5" w:sz="1"/>
              <w:right w:val="single" w:color="C9D6E5" w:sz="1"/>
            </w:tcBorders>
            <w:shd w:fill="1F3864" w:val="clear"/>
            <w:tcMar>
              <w:top w:type="dxa" w:w="80"/>
              <w:left w:type="dxa" w:w="120"/>
              <w:bottom w:type="dxa" w:w="80"/>
              <w:right w:type="dxa" w:w="120"/>
            </w:tcMar>
            <w:vAlign w:val="center"/>
          </w:tcPr>
          <w:p>
            <w:pPr>
              <w:spacing w:after="0" w:line="264"/>
            </w:pPr>
            <w:r>
              <w:rPr>
                <w:b/>
                <w:bCs/>
                <w:color w:val="FFFFFF"/>
              </w:rPr>
              <w:t xml:space="preserve">What it measures</w:t>
            </w:r>
          </w:p>
        </w:tc>
        <w:tc>
          <w:tcPr>
            <w:tcW w:type="dxa" w:w="3400"/>
            <w:tcBorders>
              <w:top w:val="single" w:color="C9D6E5" w:sz="1"/>
              <w:left w:val="single" w:color="C9D6E5" w:sz="1"/>
              <w:bottom w:val="single" w:color="C9D6E5" w:sz="1"/>
              <w:right w:val="single" w:color="C9D6E5" w:sz="1"/>
            </w:tcBorders>
            <w:shd w:fill="1F3864" w:val="clear"/>
            <w:tcMar>
              <w:top w:type="dxa" w:w="80"/>
              <w:left w:type="dxa" w:w="120"/>
              <w:bottom w:type="dxa" w:w="80"/>
              <w:right w:type="dxa" w:w="120"/>
            </w:tcMar>
            <w:vAlign w:val="center"/>
          </w:tcPr>
          <w:p>
            <w:pPr>
              <w:spacing w:after="0" w:line="264"/>
            </w:pPr>
            <w:r>
              <w:rPr>
                <w:b/>
                <w:bCs/>
                <w:color w:val="FFFFFF"/>
              </w:rPr>
              <w:t xml:space="preserve">How / frameworks</w:t>
            </w:r>
          </w:p>
        </w:tc>
      </w:tr>
      <w:tr>
        <w:tc>
          <w:tcPr>
            <w:tcW w:type="dxa" w:w="1900"/>
            <w:tcBorders>
              <w:top w:val="single" w:color="C9D6E5" w:sz="1"/>
              <w:left w:val="single" w:color="C9D6E5" w:sz="1"/>
              <w:bottom w:val="single" w:color="C9D6E5" w:sz="1"/>
              <w:right w:val="single" w:color="C9D6E5" w:sz="1"/>
            </w:tcBorders>
            <w:shd w:fill="FFFFFF" w:val="clear"/>
            <w:tcMar>
              <w:top w:type="dxa" w:w="80"/>
              <w:left w:type="dxa" w:w="120"/>
              <w:bottom w:type="dxa" w:w="80"/>
              <w:right w:type="dxa" w:w="120"/>
            </w:tcMar>
            <w:vAlign w:val="center"/>
          </w:tcPr>
          <w:p>
            <w:pPr>
              <w:spacing w:after="0" w:line="264"/>
            </w:pPr>
            <w:r>
              <w:rPr>
                <w:b w:val="false"/>
                <w:bCs w:val="false"/>
              </w:rPr>
              <w:t xml:space="preserve">1. Retrieval</w:t>
            </w:r>
          </w:p>
        </w:tc>
        <w:tc>
          <w:tcPr>
            <w:tcW w:type="dxa" w:w="4060"/>
            <w:tcBorders>
              <w:top w:val="single" w:color="C9D6E5" w:sz="1"/>
              <w:left w:val="single" w:color="C9D6E5" w:sz="1"/>
              <w:bottom w:val="single" w:color="C9D6E5" w:sz="1"/>
              <w:right w:val="single" w:color="C9D6E5" w:sz="1"/>
            </w:tcBorders>
            <w:shd w:fill="FFFFFF" w:val="clear"/>
            <w:tcMar>
              <w:top w:type="dxa" w:w="80"/>
              <w:left w:type="dxa" w:w="120"/>
              <w:bottom w:type="dxa" w:w="80"/>
              <w:right w:type="dxa" w:w="120"/>
            </w:tcMar>
            <w:vAlign w:val="center"/>
          </w:tcPr>
          <w:p>
            <w:pPr>
              <w:spacing w:after="0" w:line="264"/>
            </w:pPr>
            <w:r>
              <w:rPr>
                <w:b w:val="false"/>
                <w:bCs w:val="false"/>
              </w:rPr>
              <w:t xml:space="preserve">Context precision &amp; recall; ranking quality (NDCG, MRR, hit@k) over 10k+ docs</w:t>
            </w:r>
          </w:p>
        </w:tc>
        <w:tc>
          <w:tcPr>
            <w:tcW w:type="dxa" w:w="3400"/>
            <w:tcBorders>
              <w:top w:val="single" w:color="C9D6E5" w:sz="1"/>
              <w:left w:val="single" w:color="C9D6E5" w:sz="1"/>
              <w:bottom w:val="single" w:color="C9D6E5" w:sz="1"/>
              <w:right w:val="single" w:color="C9D6E5" w:sz="1"/>
            </w:tcBorders>
            <w:shd w:fill="FFFFFF" w:val="clear"/>
            <w:tcMar>
              <w:top w:type="dxa" w:w="80"/>
              <w:left w:type="dxa" w:w="120"/>
              <w:bottom w:type="dxa" w:w="80"/>
              <w:right w:type="dxa" w:w="120"/>
            </w:tcMar>
            <w:vAlign w:val="center"/>
          </w:tcPr>
          <w:p>
            <w:pPr>
              <w:spacing w:after="0" w:line="264"/>
            </w:pPr>
            <w:r>
              <w:rPr>
                <w:b w:val="false"/>
                <w:bCs w:val="false"/>
              </w:rPr>
              <w:t xml:space="preserve">RAGAS for precision/recall; IR metrics on a versioned golden retrieval set</w:t>
            </w:r>
          </w:p>
        </w:tc>
      </w:tr>
      <w:tr>
        <w:tc>
          <w:tcPr>
            <w:tcW w:type="dxa" w:w="1900"/>
            <w:tcBorders>
              <w:top w:val="single" w:color="C9D6E5" w:sz="1"/>
              <w:left w:val="single" w:color="C9D6E5" w:sz="1"/>
              <w:bottom w:val="single" w:color="C9D6E5" w:sz="1"/>
              <w:right w:val="single" w:color="C9D6E5" w:sz="1"/>
            </w:tcBorders>
            <w:shd w:fill="F2F6FB" w:val="clear"/>
            <w:tcMar>
              <w:top w:type="dxa" w:w="80"/>
              <w:left w:type="dxa" w:w="120"/>
              <w:bottom w:type="dxa" w:w="80"/>
              <w:right w:type="dxa" w:w="120"/>
            </w:tcMar>
            <w:vAlign w:val="center"/>
          </w:tcPr>
          <w:p>
            <w:pPr>
              <w:spacing w:after="0" w:line="264"/>
            </w:pPr>
            <w:r>
              <w:rPr>
                <w:b w:val="false"/>
                <w:bCs w:val="false"/>
              </w:rPr>
              <w:t xml:space="preserve">2. Generation</w:t>
            </w:r>
          </w:p>
        </w:tc>
        <w:tc>
          <w:tcPr>
            <w:tcW w:type="dxa" w:w="4060"/>
            <w:tcBorders>
              <w:top w:val="single" w:color="C9D6E5" w:sz="1"/>
              <w:left w:val="single" w:color="C9D6E5" w:sz="1"/>
              <w:bottom w:val="single" w:color="C9D6E5" w:sz="1"/>
              <w:right w:val="single" w:color="C9D6E5" w:sz="1"/>
            </w:tcBorders>
            <w:shd w:fill="F2F6FB" w:val="clear"/>
            <w:tcMar>
              <w:top w:type="dxa" w:w="80"/>
              <w:left w:type="dxa" w:w="120"/>
              <w:bottom w:type="dxa" w:w="80"/>
              <w:right w:type="dxa" w:w="120"/>
            </w:tcMar>
            <w:vAlign w:val="center"/>
          </w:tcPr>
          <w:p>
            <w:pPr>
              <w:spacing w:after="0" w:line="264"/>
            </w:pPr>
            <w:r>
              <w:rPr>
                <w:b w:val="false"/>
                <w:bCs w:val="false"/>
              </w:rPr>
              <w:t xml:space="preserve">Faithfulness/groundedness, answer relevance, correctness, completeness — where the ~18% hallucination reduction is measured</w:t>
            </w:r>
          </w:p>
        </w:tc>
        <w:tc>
          <w:tcPr>
            <w:tcW w:type="dxa" w:w="3400"/>
            <w:tcBorders>
              <w:top w:val="single" w:color="C9D6E5" w:sz="1"/>
              <w:left w:val="single" w:color="C9D6E5" w:sz="1"/>
              <w:bottom w:val="single" w:color="C9D6E5" w:sz="1"/>
              <w:right w:val="single" w:color="C9D6E5" w:sz="1"/>
            </w:tcBorders>
            <w:shd w:fill="F2F6FB" w:val="clear"/>
            <w:tcMar>
              <w:top w:type="dxa" w:w="80"/>
              <w:left w:type="dxa" w:w="120"/>
              <w:bottom w:type="dxa" w:w="80"/>
              <w:right w:type="dxa" w:w="120"/>
            </w:tcMar>
            <w:vAlign w:val="center"/>
          </w:tcPr>
          <w:p>
            <w:pPr>
              <w:spacing w:after="0" w:line="264"/>
            </w:pPr>
            <w:r>
              <w:rPr>
                <w:b w:val="false"/>
                <w:bCs w:val="false"/>
              </w:rPr>
              <w:t xml:space="preserve">RAGAS, DeepEval, TruLens RAG triad, Azure AI Evaluation SDK</w:t>
            </w:r>
          </w:p>
        </w:tc>
      </w:tr>
      <w:tr>
        <w:tc>
          <w:tcPr>
            <w:tcW w:type="dxa" w:w="1900"/>
            <w:tcBorders>
              <w:top w:val="single" w:color="C9D6E5" w:sz="1"/>
              <w:left w:val="single" w:color="C9D6E5" w:sz="1"/>
              <w:bottom w:val="single" w:color="C9D6E5" w:sz="1"/>
              <w:right w:val="single" w:color="C9D6E5" w:sz="1"/>
            </w:tcBorders>
            <w:shd w:fill="FFFFFF" w:val="clear"/>
            <w:tcMar>
              <w:top w:type="dxa" w:w="80"/>
              <w:left w:type="dxa" w:w="120"/>
              <w:bottom w:type="dxa" w:w="80"/>
              <w:right w:type="dxa" w:w="120"/>
            </w:tcMar>
            <w:vAlign w:val="center"/>
          </w:tcPr>
          <w:p>
            <w:pPr>
              <w:spacing w:after="0" w:line="264"/>
            </w:pPr>
            <w:r>
              <w:rPr>
                <w:b w:val="false"/>
                <w:bCs w:val="false"/>
              </w:rPr>
              <w:t xml:space="preserve">3. Agent &amp; orchestration</w:t>
            </w:r>
          </w:p>
        </w:tc>
        <w:tc>
          <w:tcPr>
            <w:tcW w:type="dxa" w:w="4060"/>
            <w:tcBorders>
              <w:top w:val="single" w:color="C9D6E5" w:sz="1"/>
              <w:left w:val="single" w:color="C9D6E5" w:sz="1"/>
              <w:bottom w:val="single" w:color="C9D6E5" w:sz="1"/>
              <w:right w:val="single" w:color="C9D6E5" w:sz="1"/>
            </w:tcBorders>
            <w:shd w:fill="FFFFFF" w:val="clear"/>
            <w:tcMar>
              <w:top w:type="dxa" w:w="80"/>
              <w:left w:type="dxa" w:w="120"/>
              <w:bottom w:type="dxa" w:w="80"/>
              <w:right w:type="dxa" w:w="120"/>
            </w:tcMar>
            <w:vAlign w:val="center"/>
          </w:tcPr>
          <w:p>
            <w:pPr>
              <w:spacing w:after="0" w:line="264"/>
            </w:pPr>
            <w:r>
              <w:rPr>
                <w:b w:val="false"/>
                <w:bCs w:val="false"/>
              </w:rPr>
              <w:t xml:space="preserve">Routing accuracy, tool-call selection &amp; argument correctness, trajectory quality, plan quality across 6 agents / 15 tools</w:t>
            </w:r>
          </w:p>
        </w:tc>
        <w:tc>
          <w:tcPr>
            <w:tcW w:type="dxa" w:w="3400"/>
            <w:tcBorders>
              <w:top w:val="single" w:color="C9D6E5" w:sz="1"/>
              <w:left w:val="single" w:color="C9D6E5" w:sz="1"/>
              <w:bottom w:val="single" w:color="C9D6E5" w:sz="1"/>
              <w:right w:val="single" w:color="C9D6E5" w:sz="1"/>
            </w:tcBorders>
            <w:shd w:fill="FFFFFF" w:val="clear"/>
            <w:tcMar>
              <w:top w:type="dxa" w:w="80"/>
              <w:left w:type="dxa" w:w="120"/>
              <w:bottom w:type="dxa" w:w="80"/>
              <w:right w:type="dxa" w:w="120"/>
            </w:tcMar>
            <w:vAlign w:val="center"/>
          </w:tcPr>
          <w:p>
            <w:pPr>
              <w:spacing w:after="0" w:line="264"/>
            </w:pPr>
            <w:r>
              <w:rPr>
                <w:b w:val="false"/>
                <w:bCs w:val="false"/>
              </w:rPr>
              <w:t xml:space="preserve">LangSmith, Arize Phoenix on the OTel traces — the layer most teams skip</w:t>
            </w:r>
          </w:p>
        </w:tc>
      </w:tr>
      <w:tr>
        <w:tc>
          <w:tcPr>
            <w:tcW w:type="dxa" w:w="1900"/>
            <w:tcBorders>
              <w:top w:val="single" w:color="C9D6E5" w:sz="1"/>
              <w:left w:val="single" w:color="C9D6E5" w:sz="1"/>
              <w:bottom w:val="single" w:color="C9D6E5" w:sz="1"/>
              <w:right w:val="single" w:color="C9D6E5" w:sz="1"/>
            </w:tcBorders>
            <w:shd w:fill="F2F6FB" w:val="clear"/>
            <w:tcMar>
              <w:top w:type="dxa" w:w="80"/>
              <w:left w:type="dxa" w:w="120"/>
              <w:bottom w:type="dxa" w:w="80"/>
              <w:right w:type="dxa" w:w="120"/>
            </w:tcMar>
            <w:vAlign w:val="center"/>
          </w:tcPr>
          <w:p>
            <w:pPr>
              <w:spacing w:after="0" w:line="264"/>
            </w:pPr>
            <w:r>
              <w:rPr>
                <w:b w:val="false"/>
                <w:bCs w:val="false"/>
              </w:rPr>
              <w:t xml:space="preserve">4. End-to-end task</w:t>
            </w:r>
          </w:p>
        </w:tc>
        <w:tc>
          <w:tcPr>
            <w:tcW w:type="dxa" w:w="4060"/>
            <w:tcBorders>
              <w:top w:val="single" w:color="C9D6E5" w:sz="1"/>
              <w:left w:val="single" w:color="C9D6E5" w:sz="1"/>
              <w:bottom w:val="single" w:color="C9D6E5" w:sz="1"/>
              <w:right w:val="single" w:color="C9D6E5" w:sz="1"/>
            </w:tcBorders>
            <w:shd w:fill="F2F6FB" w:val="clear"/>
            <w:tcMar>
              <w:top w:type="dxa" w:w="80"/>
              <w:left w:type="dxa" w:w="120"/>
              <w:bottom w:type="dxa" w:w="80"/>
              <w:right w:type="dxa" w:w="120"/>
            </w:tcMar>
            <w:vAlign w:val="center"/>
          </w:tcPr>
          <w:p>
            <w:pPr>
              <w:spacing w:after="0" w:line="264"/>
            </w:pPr>
            <w:r>
              <w:rPr>
                <w:b w:val="false"/>
                <w:bCs w:val="false"/>
              </w:rPr>
              <w:t xml:space="preserve">Task success rate against a versioned regression suite</w:t>
            </w:r>
          </w:p>
        </w:tc>
        <w:tc>
          <w:tcPr>
            <w:tcW w:type="dxa" w:w="3400"/>
            <w:tcBorders>
              <w:top w:val="single" w:color="C9D6E5" w:sz="1"/>
              <w:left w:val="single" w:color="C9D6E5" w:sz="1"/>
              <w:bottom w:val="single" w:color="C9D6E5" w:sz="1"/>
              <w:right w:val="single" w:color="C9D6E5" w:sz="1"/>
            </w:tcBorders>
            <w:shd w:fill="F2F6FB" w:val="clear"/>
            <w:tcMar>
              <w:top w:type="dxa" w:w="80"/>
              <w:left w:type="dxa" w:w="120"/>
              <w:bottom w:type="dxa" w:w="80"/>
              <w:right w:type="dxa" w:w="120"/>
            </w:tcMar>
            <w:vAlign w:val="center"/>
          </w:tcPr>
          <w:p>
            <w:pPr>
              <w:spacing w:after="0" w:line="264"/>
            </w:pPr>
            <w:r>
              <w:rPr>
                <w:b w:val="false"/>
                <w:bCs w:val="false"/>
              </w:rPr>
              <w:t xml:space="preserve">A/B and shadow testing before any rollout</w:t>
            </w:r>
          </w:p>
        </w:tc>
      </w:tr>
      <w:tr>
        <w:tc>
          <w:tcPr>
            <w:tcW w:type="dxa" w:w="1900"/>
            <w:tcBorders>
              <w:top w:val="single" w:color="C9D6E5" w:sz="1"/>
              <w:left w:val="single" w:color="C9D6E5" w:sz="1"/>
              <w:bottom w:val="single" w:color="C9D6E5" w:sz="1"/>
              <w:right w:val="single" w:color="C9D6E5" w:sz="1"/>
            </w:tcBorders>
            <w:shd w:fill="FFFFFF" w:val="clear"/>
            <w:tcMar>
              <w:top w:type="dxa" w:w="80"/>
              <w:left w:type="dxa" w:w="120"/>
              <w:bottom w:type="dxa" w:w="80"/>
              <w:right w:type="dxa" w:w="120"/>
            </w:tcMar>
            <w:vAlign w:val="center"/>
          </w:tcPr>
          <w:p>
            <w:pPr>
              <w:spacing w:after="0" w:line="264"/>
            </w:pPr>
            <w:r>
              <w:rPr>
                <w:b w:val="false"/>
                <w:bCs w:val="false"/>
              </w:rPr>
              <w:t xml:space="preserve">5. Safety &amp; compliance (gate)</w:t>
            </w:r>
          </w:p>
        </w:tc>
        <w:tc>
          <w:tcPr>
            <w:tcW w:type="dxa" w:w="4060"/>
            <w:tcBorders>
              <w:top w:val="single" w:color="C9D6E5" w:sz="1"/>
              <w:left w:val="single" w:color="C9D6E5" w:sz="1"/>
              <w:bottom w:val="single" w:color="C9D6E5" w:sz="1"/>
              <w:right w:val="single" w:color="C9D6E5" w:sz="1"/>
            </w:tcBorders>
            <w:shd w:fill="FFFFFF" w:val="clear"/>
            <w:tcMar>
              <w:top w:type="dxa" w:w="80"/>
              <w:left w:type="dxa" w:w="120"/>
              <w:bottom w:type="dxa" w:w="80"/>
              <w:right w:type="dxa" w:w="120"/>
            </w:tcMar>
            <w:vAlign w:val="center"/>
          </w:tcPr>
          <w:p>
            <w:pPr>
              <w:spacing w:after="0" w:line="264"/>
            </w:pPr>
            <w:r>
              <w:rPr>
                <w:b w:val="false"/>
                <w:bCs w:val="false"/>
              </w:rPr>
              <w:t xml:space="preserve">Citation verification, PHI leakage, MedDRA coding accuracy, causality classification</w:t>
            </w:r>
          </w:p>
        </w:tc>
        <w:tc>
          <w:tcPr>
            <w:tcW w:type="dxa" w:w="3400"/>
            <w:tcBorders>
              <w:top w:val="single" w:color="C9D6E5" w:sz="1"/>
              <w:left w:val="single" w:color="C9D6E5" w:sz="1"/>
              <w:bottom w:val="single" w:color="C9D6E5" w:sz="1"/>
              <w:right w:val="single" w:color="C9D6E5" w:sz="1"/>
            </w:tcBorders>
            <w:shd w:fill="FFFFFF" w:val="clear"/>
            <w:tcMar>
              <w:top w:type="dxa" w:w="80"/>
              <w:left w:type="dxa" w:w="120"/>
              <w:bottom w:type="dxa" w:w="80"/>
              <w:right w:type="dxa" w:w="120"/>
            </w:tcMar>
            <w:vAlign w:val="center"/>
          </w:tcPr>
          <w:p>
            <w:pPr>
              <w:spacing w:after="0" w:line="264"/>
            </w:pPr>
            <w:r>
              <w:rPr>
                <w:b w:val="false"/>
                <w:bCs w:val="false"/>
              </w:rPr>
              <w:t xml:space="preserve">A hard gate (validate_output_safety), closer to a control than a metric</w:t>
            </w:r>
          </w:p>
        </w:tc>
      </w:tr>
      <w:tr>
        <w:tc>
          <w:tcPr>
            <w:tcW w:type="dxa" w:w="1900"/>
            <w:tcBorders>
              <w:top w:val="single" w:color="C9D6E5" w:sz="1"/>
              <w:left w:val="single" w:color="C9D6E5" w:sz="1"/>
              <w:bottom w:val="single" w:color="C9D6E5" w:sz="1"/>
              <w:right w:val="single" w:color="C9D6E5" w:sz="1"/>
            </w:tcBorders>
            <w:shd w:fill="F2F6FB" w:val="clear"/>
            <w:tcMar>
              <w:top w:type="dxa" w:w="80"/>
              <w:left w:type="dxa" w:w="120"/>
              <w:bottom w:type="dxa" w:w="80"/>
              <w:right w:type="dxa" w:w="120"/>
            </w:tcMar>
            <w:vAlign w:val="center"/>
          </w:tcPr>
          <w:p>
            <w:pPr>
              <w:spacing w:after="0" w:line="264"/>
            </w:pPr>
            <w:r>
              <w:rPr>
                <w:b w:val="false"/>
                <w:bCs w:val="false"/>
              </w:rPr>
              <w:t xml:space="preserve">6. Operational</w:t>
            </w:r>
          </w:p>
        </w:tc>
        <w:tc>
          <w:tcPr>
            <w:tcW w:type="dxa" w:w="4060"/>
            <w:tcBorders>
              <w:top w:val="single" w:color="C9D6E5" w:sz="1"/>
              <w:left w:val="single" w:color="C9D6E5" w:sz="1"/>
              <w:bottom w:val="single" w:color="C9D6E5" w:sz="1"/>
              <w:right w:val="single" w:color="C9D6E5" w:sz="1"/>
            </w:tcBorders>
            <w:shd w:fill="F2F6FB" w:val="clear"/>
            <w:tcMar>
              <w:top w:type="dxa" w:w="80"/>
              <w:left w:type="dxa" w:w="120"/>
              <w:bottom w:type="dxa" w:w="80"/>
              <w:right w:type="dxa" w:w="120"/>
            </w:tcMar>
            <w:vAlign w:val="center"/>
          </w:tcPr>
          <w:p>
            <w:pPr>
              <w:spacing w:after="0" w:line="264"/>
            </w:pPr>
            <w:r>
              <w:rPr>
                <w:b w:val="false"/>
                <w:bCs w:val="false"/>
              </w:rPr>
              <w:t xml:space="preserve">p95 latency (&lt;900ms), cost per query, drift detection, live guardrails</w:t>
            </w:r>
          </w:p>
        </w:tc>
        <w:tc>
          <w:tcPr>
            <w:tcW w:type="dxa" w:w="3400"/>
            <w:tcBorders>
              <w:top w:val="single" w:color="C9D6E5" w:sz="1"/>
              <w:left w:val="single" w:color="C9D6E5" w:sz="1"/>
              <w:bottom w:val="single" w:color="C9D6E5" w:sz="1"/>
              <w:right w:val="single" w:color="C9D6E5" w:sz="1"/>
            </w:tcBorders>
            <w:shd w:fill="F2F6FB" w:val="clear"/>
            <w:tcMar>
              <w:top w:type="dxa" w:w="80"/>
              <w:left w:type="dxa" w:w="120"/>
              <w:bottom w:type="dxa" w:w="80"/>
              <w:right w:type="dxa" w:w="120"/>
            </w:tcMar>
            <w:vAlign w:val="center"/>
          </w:tcPr>
          <w:p>
            <w:pPr>
              <w:spacing w:after="0" w:line="264"/>
            </w:pPr>
            <w:r>
              <w:rPr>
                <w:b w:val="false"/>
                <w:bCs w:val="false"/>
              </w:rPr>
              <w:t xml:space="preserve">Inline monitoring on production traffic via App Insights / Prometheus</w:t>
            </w:r>
          </w:p>
        </w:tc>
      </w:tr>
      <w:tr>
        <w:tc>
          <w:tcPr>
            <w:tcW w:type="dxa" w:w="1900"/>
            <w:tcBorders>
              <w:top w:val="single" w:color="C9D6E5" w:sz="1"/>
              <w:left w:val="single" w:color="C9D6E5" w:sz="1"/>
              <w:bottom w:val="single" w:color="C9D6E5" w:sz="1"/>
              <w:right w:val="single" w:color="C9D6E5" w:sz="1"/>
            </w:tcBorders>
            <w:shd w:fill="FFFFFF" w:val="clear"/>
            <w:tcMar>
              <w:top w:type="dxa" w:w="80"/>
              <w:left w:type="dxa" w:w="120"/>
              <w:bottom w:type="dxa" w:w="80"/>
              <w:right w:type="dxa" w:w="120"/>
            </w:tcMar>
            <w:vAlign w:val="center"/>
          </w:tcPr>
          <w:p>
            <w:pPr>
              <w:spacing w:after="0" w:line="264"/>
            </w:pPr>
            <w:r>
              <w:rPr>
                <w:b w:val="false"/>
                <w:bCs w:val="false"/>
              </w:rPr>
              <w:t xml:space="preserve">7. Human &amp; SME</w:t>
            </w:r>
          </w:p>
        </w:tc>
        <w:tc>
          <w:tcPr>
            <w:tcW w:type="dxa" w:w="4060"/>
            <w:tcBorders>
              <w:top w:val="single" w:color="C9D6E5" w:sz="1"/>
              <w:left w:val="single" w:color="C9D6E5" w:sz="1"/>
              <w:bottom w:val="single" w:color="C9D6E5" w:sz="1"/>
              <w:right w:val="single" w:color="C9D6E5" w:sz="1"/>
            </w:tcBorders>
            <w:shd w:fill="FFFFFF" w:val="clear"/>
            <w:tcMar>
              <w:top w:type="dxa" w:w="80"/>
              <w:left w:type="dxa" w:w="120"/>
              <w:bottom w:type="dxa" w:w="80"/>
              <w:right w:type="dxa" w:w="120"/>
            </w:tcMar>
            <w:vAlign w:val="center"/>
          </w:tcPr>
          <w:p>
            <w:pPr>
              <w:spacing w:after="0" w:line="264"/>
            </w:pPr>
            <w:r>
              <w:rPr>
                <w:b w:val="false"/>
                <w:bCs w:val="false"/>
              </w:rPr>
              <w:t xml:space="preserve">Review rubrics, inter-annotator agreement, and validation of the LLM judges themselves</w:t>
            </w:r>
          </w:p>
        </w:tc>
        <w:tc>
          <w:tcPr>
            <w:tcW w:type="dxa" w:w="3400"/>
            <w:tcBorders>
              <w:top w:val="single" w:color="C9D6E5" w:sz="1"/>
              <w:left w:val="single" w:color="C9D6E5" w:sz="1"/>
              <w:bottom w:val="single" w:color="C9D6E5" w:sz="1"/>
              <w:right w:val="single" w:color="C9D6E5" w:sz="1"/>
            </w:tcBorders>
            <w:shd w:fill="FFFFFF" w:val="clear"/>
            <w:tcMar>
              <w:top w:type="dxa" w:w="80"/>
              <w:left w:type="dxa" w:w="120"/>
              <w:bottom w:type="dxa" w:w="80"/>
              <w:right w:type="dxa" w:w="120"/>
            </w:tcMar>
            <w:vAlign w:val="center"/>
          </w:tcPr>
          <w:p>
            <w:pPr>
              <w:spacing w:after="0" w:line="264"/>
            </w:pPr>
            <w:r>
              <w:rPr>
                <w:b w:val="false"/>
                <w:bCs w:val="false"/>
              </w:rPr>
              <w:t xml:space="preserve">SME review; judge-vs-human agreement checks</w:t>
            </w:r>
          </w:p>
        </w:tc>
      </w:tr>
    </w:tbl>
    <w:p>
      <w:pPr>
        <w:pStyle w:val="Heading2"/>
      </w:pPr>
      <w:r>
        <w:t xml:space="preserve">What makes it regulated-grade (the real differentiator)</w:t>
      </w:r>
    </w:p>
    <w:p>
      <w:pPr>
        <w:pStyle w:val="ListParagraph"/>
        <w:numPr>
          <w:ilvl w:val="0"/>
          <w:numId w:val="2"/>
        </w:numPr>
        <w:spacing w:after="80" w:line="270"/>
      </w:pPr>
      <w:r>
        <w:rPr>
          <w:b/>
          <w:bCs/>
          <w:i w:val="false"/>
          <w:iCs w:val="false"/>
        </w:rPr>
        <w:t xml:space="preserve">Validated eval datasets. </w:t>
      </w:r>
      <w:r>
        <w:t xml:space="preserve">Gold sets are version-controlled artifacts, not ad-hoc notebooks; eval runs are reproducible.</w:t>
      </w:r>
    </w:p>
    <w:p>
      <w:pPr>
        <w:pStyle w:val="ListParagraph"/>
        <w:numPr>
          <w:ilvl w:val="0"/>
          <w:numId w:val="2"/>
        </w:numPr>
        <w:spacing w:after="80" w:line="270"/>
      </w:pPr>
      <w:r>
        <w:rPr>
          <w:b/>
          <w:bCs/>
          <w:i w:val="false"/>
          <w:iCs w:val="false"/>
        </w:rPr>
        <w:t xml:space="preserve">Judge validation. </w:t>
      </w:r>
      <w:r>
        <w:t xml:space="preserve">LLM-as-judge metrics are checked against SME agreement before being trusted as controls — an unvalidated judge is itself a risk.</w:t>
      </w:r>
    </w:p>
    <w:p>
      <w:pPr>
        <w:pStyle w:val="ListParagraph"/>
        <w:numPr>
          <w:ilvl w:val="0"/>
          <w:numId w:val="2"/>
        </w:numPr>
        <w:spacing w:after="80" w:line="270"/>
      </w:pPr>
      <w:r>
        <w:rPr>
          <w:b/>
          <w:bCs/>
          <w:i w:val="false"/>
          <w:iCs w:val="false"/>
        </w:rPr>
        <w:t xml:space="preserve">Audit traceability. </w:t>
      </w:r>
      <w:r>
        <w:t xml:space="preserve">For any output: model version + prompt version + retrieved sources + decision path (OpenTelemetry → App Insights → Cosmos DB).</w:t>
      </w:r>
    </w:p>
    <w:p>
      <w:pPr>
        <w:pStyle w:val="ListParagraph"/>
        <w:numPr>
          <w:ilvl w:val="0"/>
          <w:numId w:val="2"/>
        </w:numPr>
        <w:spacing w:after="80" w:line="270"/>
      </w:pPr>
      <w:r>
        <w:rPr>
          <w:b/>
          <w:bCs/>
          <w:i w:val="false"/>
          <w:iCs w:val="false"/>
        </w:rPr>
        <w:t xml:space="preserve">Change control. </w:t>
      </w:r>
      <w:r>
        <w:t xml:space="preserve">Changes to prompts, models, and evaluators all go through governance, consistent with GxP / 21 CFR Part 11 thinking.</w:t>
      </w:r>
    </w:p>
    <w:p>
      <w:pPr>
        <w:pStyle w:val="Heading2"/>
      </w:pPr>
      <w:r>
        <w:t xml:space="preserve">The eval-set blind-spot incident (your best story)</w:t>
      </w:r>
    </w:p>
    <w:tbl>
      <w:tblPr>
        <w:tblW w:type="dxa" w:w="9360"/>
        <w:tblBorders>
          <w:top w:val="single" w:color="F4F8FC" w:sz="1"/>
          <w:left w:val="single" w:color="2E8B8B" w:sz="24"/>
          <w:bottom w:val="single" w:color="F4F8FC" w:sz="1"/>
          <w:right w:val="single" w:color="F4F8FC" w:sz="1"/>
          <w:insideH w:val="single" w:color="auto" w:sz="4"/>
          <w:insideV w:val="single" w:color="auto" w:sz="4"/>
        </w:tblBorders>
      </w:tblPr>
      <w:tblGrid>
        <w:gridCol w:w="9360"/>
      </w:tblGrid>
      <w:tr>
        <w:tc>
          <w:tcPr>
            <w:tcW w:type="dxa" w:w="9360"/>
            <w:shd w:fill="F4F8FC" w:val="clear"/>
            <w:tcMar>
              <w:top w:type="dxa" w:w="120"/>
              <w:left w:type="dxa" w:w="200"/>
              <w:bottom w:type="dxa" w:w="120"/>
              <w:right w:type="dxa" w:w="200"/>
            </w:tcMar>
          </w:tcPr>
          <w:p>
            <w:pPr>
              <w:spacing w:after="60"/>
            </w:pPr>
            <w:r>
              <w:rPr>
                <w:b/>
                <w:bCs/>
                <w:color w:val="1F3864"/>
              </w:rPr>
              <w:t xml:space="preserve">A story that proves the framework earned its complexity</w:t>
            </w:r>
          </w:p>
          <w:p>
            <w:r>
              <w:t xml:space="preserve">PDF table-parsing failures were dropping contraindications from extracted text. Faithfulness-only metrics scored those answers as perfectly grounded — because the answer faithfully reflected the (incomplete) retrieved context. The miss was invisible until we added a completeness dimension and SME review, which is what drove adopting Azure Document Intelligence and dual-indexed tables. Lesson: groundedness without completeness is a silent failure mode, and in drug safety a missing contraindication is real harm.</w:t>
            </w:r>
          </w:p>
        </w:tc>
      </w:tr>
    </w:tbl>
    <w:p>
      <w:r>
        <w:br w:type="page"/>
      </w:r>
    </w:p>
    <w:p>
      <w:pPr>
        <w:pStyle w:val="Heading1"/>
      </w:pPr>
      <w:r>
        <w:t xml:space="preserve">7. The Azure Stack — Every Service, Why, and How</w:t>
      </w:r>
    </w:p>
    <w:p>
      <w:pPr>
        <w:spacing w:after="160" w:line="276"/>
      </w:pPr>
      <w:r>
        <w:rPr>
          <w:b w:val="false"/>
          <w:bCs w:val="false"/>
          <w:i w:val="false"/>
          <w:iCs w:val="false"/>
        </w:rPr>
        <w:t xml:space="preserve">The platform runs entirely on enterprise Azure. Below is the full service inventory grouped by the role each plays. Being able to justify every service — and say what you’d use instead and why you didn’t — is what an architecture interview is testing.</w:t>
      </w:r>
    </w:p>
    <w:p>
      <w:pPr>
        <w:pStyle w:val="Heading2"/>
      </w:pPr>
      <w:r>
        <w:t xml:space="preserve">Ingress &amp; API edge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C9D6E5" w:sz="1"/>
              <w:left w:val="single" w:color="C9D6E5" w:sz="1"/>
              <w:bottom w:val="single" w:color="C9D6E5" w:sz="1"/>
              <w:right w:val="single" w:color="C9D6E5" w:sz="1"/>
            </w:tcBorders>
            <w:shd w:fill="1F3864" w:val="clear"/>
            <w:tcMar>
              <w:top w:type="dxa" w:w="80"/>
              <w:left w:type="dxa" w:w="120"/>
              <w:bottom w:type="dxa" w:w="80"/>
              <w:right w:type="dxa" w:w="120"/>
            </w:tcMar>
            <w:vAlign w:val="center"/>
          </w:tcPr>
          <w:p>
            <w:pPr>
              <w:spacing w:after="0" w:line="264"/>
            </w:pPr>
            <w:r>
              <w:rPr>
                <w:b/>
                <w:bCs/>
                <w:color w:val="FFFFFF"/>
              </w:rPr>
              <w:t xml:space="preserve">Service</w:t>
            </w:r>
          </w:p>
        </w:tc>
        <w:tc>
          <w:tcPr>
            <w:tcW w:type="dxa" w:w="3480"/>
            <w:tcBorders>
              <w:top w:val="single" w:color="C9D6E5" w:sz="1"/>
              <w:left w:val="single" w:color="C9D6E5" w:sz="1"/>
              <w:bottom w:val="single" w:color="C9D6E5" w:sz="1"/>
              <w:right w:val="single" w:color="C9D6E5" w:sz="1"/>
            </w:tcBorders>
            <w:shd w:fill="1F3864" w:val="clear"/>
            <w:tcMar>
              <w:top w:type="dxa" w:w="80"/>
              <w:left w:type="dxa" w:w="120"/>
              <w:bottom w:type="dxa" w:w="80"/>
              <w:right w:type="dxa" w:w="120"/>
            </w:tcMar>
            <w:vAlign w:val="center"/>
          </w:tcPr>
          <w:p>
            <w:pPr>
              <w:spacing w:after="0" w:line="264"/>
            </w:pPr>
            <w:r>
              <w:rPr>
                <w:b/>
                <w:bCs/>
                <w:color w:val="FFFFFF"/>
              </w:rPr>
              <w:t xml:space="preserve">Why it’s there</w:t>
            </w:r>
          </w:p>
        </w:tc>
        <w:tc>
          <w:tcPr>
            <w:tcW w:type="dxa" w:w="3480"/>
            <w:tcBorders>
              <w:top w:val="single" w:color="C9D6E5" w:sz="1"/>
              <w:left w:val="single" w:color="C9D6E5" w:sz="1"/>
              <w:bottom w:val="single" w:color="C9D6E5" w:sz="1"/>
              <w:right w:val="single" w:color="C9D6E5" w:sz="1"/>
            </w:tcBorders>
            <w:shd w:fill="1F3864" w:val="clear"/>
            <w:tcMar>
              <w:top w:type="dxa" w:w="80"/>
              <w:left w:type="dxa" w:w="120"/>
              <w:bottom w:type="dxa" w:w="80"/>
              <w:right w:type="dxa" w:w="120"/>
            </w:tcMar>
            <w:vAlign w:val="center"/>
          </w:tcPr>
          <w:p>
            <w:pPr>
              <w:spacing w:after="0" w:line="264"/>
            </w:pPr>
            <w:r>
              <w:rPr>
                <w:b/>
                <w:bCs/>
                <w:color w:val="FFFFFF"/>
              </w:rPr>
              <w:t xml:space="preserve">How it’s used</w:t>
            </w:r>
          </w:p>
        </w:tc>
      </w:tr>
      <w:tr>
        <w:tc>
          <w:tcPr>
            <w:tcW w:type="dxa" w:w="2400"/>
            <w:tcBorders>
              <w:top w:val="single" w:color="C9D6E5" w:sz="1"/>
              <w:left w:val="single" w:color="C9D6E5" w:sz="1"/>
              <w:bottom w:val="single" w:color="C9D6E5" w:sz="1"/>
              <w:right w:val="single" w:color="C9D6E5" w:sz="1"/>
            </w:tcBorders>
            <w:shd w:fill="FFFFFF" w:val="clear"/>
            <w:tcMar>
              <w:top w:type="dxa" w:w="80"/>
              <w:left w:type="dxa" w:w="120"/>
              <w:bottom w:type="dxa" w:w="80"/>
              <w:right w:type="dxa" w:w="120"/>
            </w:tcMar>
            <w:vAlign w:val="center"/>
          </w:tcPr>
          <w:p>
            <w:pPr>
              <w:spacing w:after="0" w:line="264"/>
            </w:pPr>
            <w:r>
              <w:rPr>
                <w:b w:val="false"/>
                <w:bCs w:val="false"/>
              </w:rPr>
              <w:t xml:space="preserve">Azure Front Door</w:t>
            </w:r>
          </w:p>
        </w:tc>
        <w:tc>
          <w:tcPr>
            <w:tcW w:type="dxa" w:w="3480"/>
            <w:tcBorders>
              <w:top w:val="single" w:color="C9D6E5" w:sz="1"/>
              <w:left w:val="single" w:color="C9D6E5" w:sz="1"/>
              <w:bottom w:val="single" w:color="C9D6E5" w:sz="1"/>
              <w:right w:val="single" w:color="C9D6E5" w:sz="1"/>
            </w:tcBorders>
            <w:shd w:fill="FFFFFF" w:val="clear"/>
            <w:tcMar>
              <w:top w:type="dxa" w:w="80"/>
              <w:left w:type="dxa" w:w="120"/>
              <w:bottom w:type="dxa" w:w="80"/>
              <w:right w:type="dxa" w:w="120"/>
            </w:tcMar>
            <w:vAlign w:val="center"/>
          </w:tcPr>
          <w:p>
            <w:pPr>
              <w:spacing w:after="0" w:line="264"/>
            </w:pPr>
            <w:r>
              <w:rPr>
                <w:b w:val="false"/>
                <w:bCs w:val="false"/>
              </w:rPr>
              <w:t xml:space="preserve">Global entry, TLS termination, WAF</w:t>
            </w:r>
          </w:p>
        </w:tc>
        <w:tc>
          <w:tcPr>
            <w:tcW w:type="dxa" w:w="3480"/>
            <w:tcBorders>
              <w:top w:val="single" w:color="C9D6E5" w:sz="1"/>
              <w:left w:val="single" w:color="C9D6E5" w:sz="1"/>
              <w:bottom w:val="single" w:color="C9D6E5" w:sz="1"/>
              <w:right w:val="single" w:color="C9D6E5" w:sz="1"/>
            </w:tcBorders>
            <w:shd w:fill="FFFFFF" w:val="clear"/>
            <w:tcMar>
              <w:top w:type="dxa" w:w="80"/>
              <w:left w:type="dxa" w:w="120"/>
              <w:bottom w:type="dxa" w:w="80"/>
              <w:right w:type="dxa" w:w="120"/>
            </w:tcMar>
            <w:vAlign w:val="center"/>
          </w:tcPr>
          <w:p>
            <w:pPr>
              <w:spacing w:after="0" w:line="264"/>
            </w:pPr>
            <w:r>
              <w:rPr>
                <w:b w:val="false"/>
                <w:bCs w:val="false"/>
              </w:rPr>
              <w:t xml:space="preserve">Routes user traffic to the cluster with web-application-firewall protection at the edge</w:t>
            </w:r>
          </w:p>
        </w:tc>
      </w:tr>
      <w:tr>
        <w:tc>
          <w:tcPr>
            <w:tcW w:type="dxa" w:w="2400"/>
            <w:tcBorders>
              <w:top w:val="single" w:color="C9D6E5" w:sz="1"/>
              <w:left w:val="single" w:color="C9D6E5" w:sz="1"/>
              <w:bottom w:val="single" w:color="C9D6E5" w:sz="1"/>
              <w:right w:val="single" w:color="C9D6E5" w:sz="1"/>
            </w:tcBorders>
            <w:shd w:fill="F2F6FB" w:val="clear"/>
            <w:tcMar>
              <w:top w:type="dxa" w:w="80"/>
              <w:left w:type="dxa" w:w="120"/>
              <w:bottom w:type="dxa" w:w="80"/>
              <w:right w:type="dxa" w:w="120"/>
            </w:tcMar>
            <w:vAlign w:val="center"/>
          </w:tcPr>
          <w:p>
            <w:pPr>
              <w:spacing w:after="0" w:line="264"/>
            </w:pPr>
            <w:r>
              <w:rPr>
                <w:b w:val="false"/>
                <w:bCs w:val="false"/>
              </w:rPr>
              <w:t xml:space="preserve">Azure API Management</w:t>
            </w:r>
          </w:p>
        </w:tc>
        <w:tc>
          <w:tcPr>
            <w:tcW w:type="dxa" w:w="3480"/>
            <w:tcBorders>
              <w:top w:val="single" w:color="C9D6E5" w:sz="1"/>
              <w:left w:val="single" w:color="C9D6E5" w:sz="1"/>
              <w:bottom w:val="single" w:color="C9D6E5" w:sz="1"/>
              <w:right w:val="single" w:color="C9D6E5" w:sz="1"/>
            </w:tcBorders>
            <w:shd w:fill="F2F6FB" w:val="clear"/>
            <w:tcMar>
              <w:top w:type="dxa" w:w="80"/>
              <w:left w:type="dxa" w:w="120"/>
              <w:bottom w:type="dxa" w:w="80"/>
              <w:right w:type="dxa" w:w="120"/>
            </w:tcMar>
            <w:vAlign w:val="center"/>
          </w:tcPr>
          <w:p>
            <w:pPr>
              <w:spacing w:after="0" w:line="264"/>
            </w:pPr>
            <w:r>
              <w:rPr>
                <w:b w:val="false"/>
                <w:bCs w:val="false"/>
              </w:rPr>
              <w:t xml:space="preserve">API gateway: auth, rate limiting, subscription keys</w:t>
            </w:r>
          </w:p>
        </w:tc>
        <w:tc>
          <w:tcPr>
            <w:tcW w:type="dxa" w:w="3480"/>
            <w:tcBorders>
              <w:top w:val="single" w:color="C9D6E5" w:sz="1"/>
              <w:left w:val="single" w:color="C9D6E5" w:sz="1"/>
              <w:bottom w:val="single" w:color="C9D6E5" w:sz="1"/>
              <w:right w:val="single" w:color="C9D6E5" w:sz="1"/>
            </w:tcBorders>
            <w:shd w:fill="F2F6FB" w:val="clear"/>
            <w:tcMar>
              <w:top w:type="dxa" w:w="80"/>
              <w:left w:type="dxa" w:w="120"/>
              <w:bottom w:type="dxa" w:w="80"/>
              <w:right w:type="dxa" w:w="120"/>
            </w:tcMar>
            <w:vAlign w:val="center"/>
          </w:tcPr>
          <w:p>
            <w:pPr>
              <w:spacing w:after="0" w:line="264"/>
            </w:pPr>
            <w:r>
              <w:rPr>
                <w:b w:val="false"/>
                <w:bCs w:val="false"/>
              </w:rPr>
              <w:t xml:space="preserve">Fronts the platform API; enforces throttling and authentication before traffic hits AKS</w:t>
            </w:r>
          </w:p>
        </w:tc>
      </w:tr>
    </w:tbl>
    <w:p>
      <w:pPr>
        <w:pStyle w:val="Heading2"/>
      </w:pPr>
      <w:r>
        <w:t xml:space="preserve">Compute &amp; runtime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C9D6E5" w:sz="1"/>
              <w:left w:val="single" w:color="C9D6E5" w:sz="1"/>
              <w:bottom w:val="single" w:color="C9D6E5" w:sz="1"/>
              <w:right w:val="single" w:color="C9D6E5" w:sz="1"/>
            </w:tcBorders>
            <w:shd w:fill="1F3864" w:val="clear"/>
            <w:tcMar>
              <w:top w:type="dxa" w:w="80"/>
              <w:left w:type="dxa" w:w="120"/>
              <w:bottom w:type="dxa" w:w="80"/>
              <w:right w:type="dxa" w:w="120"/>
            </w:tcMar>
            <w:vAlign w:val="center"/>
          </w:tcPr>
          <w:p>
            <w:pPr>
              <w:spacing w:after="0" w:line="264"/>
            </w:pPr>
            <w:r>
              <w:rPr>
                <w:b/>
                <w:bCs/>
                <w:color w:val="FFFFFF"/>
              </w:rPr>
              <w:t xml:space="preserve">Service</w:t>
            </w:r>
          </w:p>
        </w:tc>
        <w:tc>
          <w:tcPr>
            <w:tcW w:type="dxa" w:w="3480"/>
            <w:tcBorders>
              <w:top w:val="single" w:color="C9D6E5" w:sz="1"/>
              <w:left w:val="single" w:color="C9D6E5" w:sz="1"/>
              <w:bottom w:val="single" w:color="C9D6E5" w:sz="1"/>
              <w:right w:val="single" w:color="C9D6E5" w:sz="1"/>
            </w:tcBorders>
            <w:shd w:fill="1F3864" w:val="clear"/>
            <w:tcMar>
              <w:top w:type="dxa" w:w="80"/>
              <w:left w:type="dxa" w:w="120"/>
              <w:bottom w:type="dxa" w:w="80"/>
              <w:right w:type="dxa" w:w="120"/>
            </w:tcMar>
            <w:vAlign w:val="center"/>
          </w:tcPr>
          <w:p>
            <w:pPr>
              <w:spacing w:after="0" w:line="264"/>
            </w:pPr>
            <w:r>
              <w:rPr>
                <w:b/>
                <w:bCs/>
                <w:color w:val="FFFFFF"/>
              </w:rPr>
              <w:t xml:space="preserve">Why it’s there</w:t>
            </w:r>
          </w:p>
        </w:tc>
        <w:tc>
          <w:tcPr>
            <w:tcW w:type="dxa" w:w="3480"/>
            <w:tcBorders>
              <w:top w:val="single" w:color="C9D6E5" w:sz="1"/>
              <w:left w:val="single" w:color="C9D6E5" w:sz="1"/>
              <w:bottom w:val="single" w:color="C9D6E5" w:sz="1"/>
              <w:right w:val="single" w:color="C9D6E5" w:sz="1"/>
            </w:tcBorders>
            <w:shd w:fill="1F3864" w:val="clear"/>
            <w:tcMar>
              <w:top w:type="dxa" w:w="80"/>
              <w:left w:type="dxa" w:w="120"/>
              <w:bottom w:type="dxa" w:w="80"/>
              <w:right w:type="dxa" w:w="120"/>
            </w:tcMar>
            <w:vAlign w:val="center"/>
          </w:tcPr>
          <w:p>
            <w:pPr>
              <w:spacing w:after="0" w:line="264"/>
            </w:pPr>
            <w:r>
              <w:rPr>
                <w:b/>
                <w:bCs/>
                <w:color w:val="FFFFFF"/>
              </w:rPr>
              <w:t xml:space="preserve">How it’s used</w:t>
            </w:r>
          </w:p>
        </w:tc>
      </w:tr>
      <w:tr>
        <w:tc>
          <w:tcPr>
            <w:tcW w:type="dxa" w:w="2400"/>
            <w:tcBorders>
              <w:top w:val="single" w:color="C9D6E5" w:sz="1"/>
              <w:left w:val="single" w:color="C9D6E5" w:sz="1"/>
              <w:bottom w:val="single" w:color="C9D6E5" w:sz="1"/>
              <w:right w:val="single" w:color="C9D6E5" w:sz="1"/>
            </w:tcBorders>
            <w:shd w:fill="FFFFFF" w:val="clear"/>
            <w:tcMar>
              <w:top w:type="dxa" w:w="80"/>
              <w:left w:type="dxa" w:w="120"/>
              <w:bottom w:type="dxa" w:w="80"/>
              <w:right w:type="dxa" w:w="120"/>
            </w:tcMar>
            <w:vAlign w:val="center"/>
          </w:tcPr>
          <w:p>
            <w:pPr>
              <w:spacing w:after="0" w:line="264"/>
            </w:pPr>
            <w:r>
              <w:rPr>
                <w:b w:val="false"/>
                <w:bCs w:val="false"/>
              </w:rPr>
              <w:t xml:space="preserve">Azure Kubernetes Service (AKS)</w:t>
            </w:r>
          </w:p>
        </w:tc>
        <w:tc>
          <w:tcPr>
            <w:tcW w:type="dxa" w:w="3480"/>
            <w:tcBorders>
              <w:top w:val="single" w:color="C9D6E5" w:sz="1"/>
              <w:left w:val="single" w:color="C9D6E5" w:sz="1"/>
              <w:bottom w:val="single" w:color="C9D6E5" w:sz="1"/>
              <w:right w:val="single" w:color="C9D6E5" w:sz="1"/>
            </w:tcBorders>
            <w:shd w:fill="FFFFFF" w:val="clear"/>
            <w:tcMar>
              <w:top w:type="dxa" w:w="80"/>
              <w:left w:type="dxa" w:w="120"/>
              <w:bottom w:type="dxa" w:w="80"/>
              <w:right w:type="dxa" w:w="120"/>
            </w:tcMar>
            <w:vAlign w:val="center"/>
          </w:tcPr>
          <w:p>
            <w:pPr>
              <w:spacing w:after="0" w:line="264"/>
            </w:pPr>
            <w:r>
              <w:rPr>
                <w:b w:val="false"/>
                <w:bCs w:val="false"/>
              </w:rPr>
              <w:t xml:space="preserve">Hosts the orchestrator and agents at scale</w:t>
            </w:r>
          </w:p>
        </w:tc>
        <w:tc>
          <w:tcPr>
            <w:tcW w:type="dxa" w:w="3480"/>
            <w:tcBorders>
              <w:top w:val="single" w:color="C9D6E5" w:sz="1"/>
              <w:left w:val="single" w:color="C9D6E5" w:sz="1"/>
              <w:bottom w:val="single" w:color="C9D6E5" w:sz="1"/>
              <w:right w:val="single" w:color="C9D6E5" w:sz="1"/>
            </w:tcBorders>
            <w:shd w:fill="FFFFFF" w:val="clear"/>
            <w:tcMar>
              <w:top w:type="dxa" w:w="80"/>
              <w:left w:type="dxa" w:w="120"/>
              <w:bottom w:type="dxa" w:w="80"/>
              <w:right w:type="dxa" w:w="120"/>
            </w:tcMar>
            <w:vAlign w:val="center"/>
          </w:tcPr>
          <w:p>
            <w:pPr>
              <w:spacing w:after="0" w:line="264"/>
            </w:pPr>
            <w:r>
              <w:rPr>
                <w:b w:val="false"/>
                <w:bCs w:val="false"/>
              </w:rPr>
              <w:t xml:space="preserve">FastAPI orchestrator Deployment (3–5 replicas) + agents; AGIC ingress with sticky sessions; HPA, KEDA, and Cluster Autoscaler for scaling</w:t>
            </w:r>
          </w:p>
        </w:tc>
      </w:tr>
      <w:tr>
        <w:tc>
          <w:tcPr>
            <w:tcW w:type="dxa" w:w="2400"/>
            <w:tcBorders>
              <w:top w:val="single" w:color="C9D6E5" w:sz="1"/>
              <w:left w:val="single" w:color="C9D6E5" w:sz="1"/>
              <w:bottom w:val="single" w:color="C9D6E5" w:sz="1"/>
              <w:right w:val="single" w:color="C9D6E5" w:sz="1"/>
            </w:tcBorders>
            <w:shd w:fill="F2F6FB" w:val="clear"/>
            <w:tcMar>
              <w:top w:type="dxa" w:w="80"/>
              <w:left w:type="dxa" w:w="120"/>
              <w:bottom w:type="dxa" w:w="80"/>
              <w:right w:type="dxa" w:w="120"/>
            </w:tcMar>
            <w:vAlign w:val="center"/>
          </w:tcPr>
          <w:p>
            <w:pPr>
              <w:spacing w:after="0" w:line="264"/>
            </w:pPr>
            <w:r>
              <w:rPr>
                <w:b w:val="false"/>
                <w:bCs w:val="false"/>
              </w:rPr>
              <w:t xml:space="preserve">Azure Container Registry (ACR)</w:t>
            </w:r>
          </w:p>
        </w:tc>
        <w:tc>
          <w:tcPr>
            <w:tcW w:type="dxa" w:w="3480"/>
            <w:tcBorders>
              <w:top w:val="single" w:color="C9D6E5" w:sz="1"/>
              <w:left w:val="single" w:color="C9D6E5" w:sz="1"/>
              <w:bottom w:val="single" w:color="C9D6E5" w:sz="1"/>
              <w:right w:val="single" w:color="C9D6E5" w:sz="1"/>
            </w:tcBorders>
            <w:shd w:fill="F2F6FB" w:val="clear"/>
            <w:tcMar>
              <w:top w:type="dxa" w:w="80"/>
              <w:left w:type="dxa" w:w="120"/>
              <w:bottom w:type="dxa" w:w="80"/>
              <w:right w:type="dxa" w:w="120"/>
            </w:tcMar>
            <w:vAlign w:val="center"/>
          </w:tcPr>
          <w:p>
            <w:pPr>
              <w:spacing w:after="0" w:line="264"/>
            </w:pPr>
            <w:r>
              <w:rPr>
                <w:b w:val="false"/>
                <w:bCs w:val="false"/>
              </w:rPr>
              <w:t xml:space="preserve">Stores container images</w:t>
            </w:r>
          </w:p>
        </w:tc>
        <w:tc>
          <w:tcPr>
            <w:tcW w:type="dxa" w:w="3480"/>
            <w:tcBorders>
              <w:top w:val="single" w:color="C9D6E5" w:sz="1"/>
              <w:left w:val="single" w:color="C9D6E5" w:sz="1"/>
              <w:bottom w:val="single" w:color="C9D6E5" w:sz="1"/>
              <w:right w:val="single" w:color="C9D6E5" w:sz="1"/>
            </w:tcBorders>
            <w:shd w:fill="F2F6FB" w:val="clear"/>
            <w:tcMar>
              <w:top w:type="dxa" w:w="80"/>
              <w:left w:type="dxa" w:w="120"/>
              <w:bottom w:type="dxa" w:w="80"/>
              <w:right w:type="dxa" w:w="120"/>
            </w:tcMar>
            <w:vAlign w:val="center"/>
          </w:tcPr>
          <w:p>
            <w:pPr>
              <w:spacing w:after="0" w:line="264"/>
            </w:pPr>
            <w:r>
              <w:rPr>
                <w:b w:val="false"/>
                <w:bCs w:val="false"/>
              </w:rPr>
              <w:t xml:space="preserve">AKS pulls images via managed identity — no stored credentials</w:t>
            </w:r>
          </w:p>
        </w:tc>
      </w:tr>
    </w:tbl>
    <w:p>
      <w:pPr>
        <w:pStyle w:val="Heading2"/>
      </w:pPr>
      <w:r>
        <w:t xml:space="preserve">AI &amp; retrieval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C9D6E5" w:sz="1"/>
              <w:left w:val="single" w:color="C9D6E5" w:sz="1"/>
              <w:bottom w:val="single" w:color="C9D6E5" w:sz="1"/>
              <w:right w:val="single" w:color="C9D6E5" w:sz="1"/>
            </w:tcBorders>
            <w:shd w:fill="1F3864" w:val="clear"/>
            <w:tcMar>
              <w:top w:type="dxa" w:w="80"/>
              <w:left w:type="dxa" w:w="120"/>
              <w:bottom w:type="dxa" w:w="80"/>
              <w:right w:type="dxa" w:w="120"/>
            </w:tcMar>
            <w:vAlign w:val="center"/>
          </w:tcPr>
          <w:p>
            <w:pPr>
              <w:spacing w:after="0" w:line="264"/>
            </w:pPr>
            <w:r>
              <w:rPr>
                <w:b/>
                <w:bCs/>
                <w:color w:val="FFFFFF"/>
              </w:rPr>
              <w:t xml:space="preserve">Service</w:t>
            </w:r>
          </w:p>
        </w:tc>
        <w:tc>
          <w:tcPr>
            <w:tcW w:type="dxa" w:w="3480"/>
            <w:tcBorders>
              <w:top w:val="single" w:color="C9D6E5" w:sz="1"/>
              <w:left w:val="single" w:color="C9D6E5" w:sz="1"/>
              <w:bottom w:val="single" w:color="C9D6E5" w:sz="1"/>
              <w:right w:val="single" w:color="C9D6E5" w:sz="1"/>
            </w:tcBorders>
            <w:shd w:fill="1F3864" w:val="clear"/>
            <w:tcMar>
              <w:top w:type="dxa" w:w="80"/>
              <w:left w:type="dxa" w:w="120"/>
              <w:bottom w:type="dxa" w:w="80"/>
              <w:right w:type="dxa" w:w="120"/>
            </w:tcMar>
            <w:vAlign w:val="center"/>
          </w:tcPr>
          <w:p>
            <w:pPr>
              <w:spacing w:after="0" w:line="264"/>
            </w:pPr>
            <w:r>
              <w:rPr>
                <w:b/>
                <w:bCs/>
                <w:color w:val="FFFFFF"/>
              </w:rPr>
              <w:t xml:space="preserve">Why it’s there</w:t>
            </w:r>
          </w:p>
        </w:tc>
        <w:tc>
          <w:tcPr>
            <w:tcW w:type="dxa" w:w="3480"/>
            <w:tcBorders>
              <w:top w:val="single" w:color="C9D6E5" w:sz="1"/>
              <w:left w:val="single" w:color="C9D6E5" w:sz="1"/>
              <w:bottom w:val="single" w:color="C9D6E5" w:sz="1"/>
              <w:right w:val="single" w:color="C9D6E5" w:sz="1"/>
            </w:tcBorders>
            <w:shd w:fill="1F3864" w:val="clear"/>
            <w:tcMar>
              <w:top w:type="dxa" w:w="80"/>
              <w:left w:type="dxa" w:w="120"/>
              <w:bottom w:type="dxa" w:w="80"/>
              <w:right w:type="dxa" w:w="120"/>
            </w:tcMar>
            <w:vAlign w:val="center"/>
          </w:tcPr>
          <w:p>
            <w:pPr>
              <w:spacing w:after="0" w:line="264"/>
            </w:pPr>
            <w:r>
              <w:rPr>
                <w:b/>
                <w:bCs/>
                <w:color w:val="FFFFFF"/>
              </w:rPr>
              <w:t xml:space="preserve">How it’s used</w:t>
            </w:r>
          </w:p>
        </w:tc>
      </w:tr>
      <w:tr>
        <w:tc>
          <w:tcPr>
            <w:tcW w:type="dxa" w:w="2400"/>
            <w:tcBorders>
              <w:top w:val="single" w:color="C9D6E5" w:sz="1"/>
              <w:left w:val="single" w:color="C9D6E5" w:sz="1"/>
              <w:bottom w:val="single" w:color="C9D6E5" w:sz="1"/>
              <w:right w:val="single" w:color="C9D6E5" w:sz="1"/>
            </w:tcBorders>
            <w:shd w:fill="FFFFFF" w:val="clear"/>
            <w:tcMar>
              <w:top w:type="dxa" w:w="80"/>
              <w:left w:type="dxa" w:w="120"/>
              <w:bottom w:type="dxa" w:w="80"/>
              <w:right w:type="dxa" w:w="120"/>
            </w:tcMar>
            <w:vAlign w:val="center"/>
          </w:tcPr>
          <w:p>
            <w:pPr>
              <w:spacing w:after="0" w:line="264"/>
            </w:pPr>
            <w:r>
              <w:rPr>
                <w:b w:val="false"/>
                <w:bCs w:val="false"/>
              </w:rPr>
              <w:t xml:space="preserve">Azure OpenAI</w:t>
            </w:r>
          </w:p>
        </w:tc>
        <w:tc>
          <w:tcPr>
            <w:tcW w:type="dxa" w:w="3480"/>
            <w:tcBorders>
              <w:top w:val="single" w:color="C9D6E5" w:sz="1"/>
              <w:left w:val="single" w:color="C9D6E5" w:sz="1"/>
              <w:bottom w:val="single" w:color="C9D6E5" w:sz="1"/>
              <w:right w:val="single" w:color="C9D6E5" w:sz="1"/>
            </w:tcBorders>
            <w:shd w:fill="FFFFFF" w:val="clear"/>
            <w:tcMar>
              <w:top w:type="dxa" w:w="80"/>
              <w:left w:type="dxa" w:w="120"/>
              <w:bottom w:type="dxa" w:w="80"/>
              <w:right w:type="dxa" w:w="120"/>
            </w:tcMar>
            <w:vAlign w:val="center"/>
          </w:tcPr>
          <w:p>
            <w:pPr>
              <w:spacing w:after="0" w:line="264"/>
            </w:pPr>
            <w:r>
              <w:rPr>
                <w:b w:val="false"/>
                <w:bCs w:val="false"/>
              </w:rPr>
              <w:t xml:space="preserve">GPT-4o reasoning + embeddings, enterprise-governed</w:t>
            </w:r>
          </w:p>
        </w:tc>
        <w:tc>
          <w:tcPr>
            <w:tcW w:type="dxa" w:w="3480"/>
            <w:tcBorders>
              <w:top w:val="single" w:color="C9D6E5" w:sz="1"/>
              <w:left w:val="single" w:color="C9D6E5" w:sz="1"/>
              <w:bottom w:val="single" w:color="C9D6E5" w:sz="1"/>
              <w:right w:val="single" w:color="C9D6E5" w:sz="1"/>
            </w:tcBorders>
            <w:shd w:fill="FFFFFF" w:val="clear"/>
            <w:tcMar>
              <w:top w:type="dxa" w:w="80"/>
              <w:left w:type="dxa" w:w="120"/>
              <w:bottom w:type="dxa" w:w="80"/>
              <w:right w:type="dxa" w:w="120"/>
            </w:tcMar>
            <w:vAlign w:val="center"/>
          </w:tcPr>
          <w:p>
            <w:pPr>
              <w:spacing w:after="0" w:line="264"/>
            </w:pPr>
            <w:r>
              <w:rPr>
                <w:b w:val="false"/>
                <w:bCs w:val="false"/>
              </w:rPr>
              <w:t xml:space="preserve">Orchestrator and agents call GPT-4o; embeddings generated here; data opt-out and private networking keep PHI off public endpoints</w:t>
            </w:r>
          </w:p>
        </w:tc>
      </w:tr>
      <w:tr>
        <w:tc>
          <w:tcPr>
            <w:tcW w:type="dxa" w:w="2400"/>
            <w:tcBorders>
              <w:top w:val="single" w:color="C9D6E5" w:sz="1"/>
              <w:left w:val="single" w:color="C9D6E5" w:sz="1"/>
              <w:bottom w:val="single" w:color="C9D6E5" w:sz="1"/>
              <w:right w:val="single" w:color="C9D6E5" w:sz="1"/>
            </w:tcBorders>
            <w:shd w:fill="F2F6FB" w:val="clear"/>
            <w:tcMar>
              <w:top w:type="dxa" w:w="80"/>
              <w:left w:type="dxa" w:w="120"/>
              <w:bottom w:type="dxa" w:w="80"/>
              <w:right w:type="dxa" w:w="120"/>
            </w:tcMar>
            <w:vAlign w:val="center"/>
          </w:tcPr>
          <w:p>
            <w:pPr>
              <w:spacing w:after="0" w:line="264"/>
            </w:pPr>
            <w:r>
              <w:rPr>
                <w:b w:val="false"/>
                <w:bCs w:val="false"/>
              </w:rPr>
              <w:t xml:space="preserve">Azure AI Search</w:t>
            </w:r>
          </w:p>
        </w:tc>
        <w:tc>
          <w:tcPr>
            <w:tcW w:type="dxa" w:w="3480"/>
            <w:tcBorders>
              <w:top w:val="single" w:color="C9D6E5" w:sz="1"/>
              <w:left w:val="single" w:color="C9D6E5" w:sz="1"/>
              <w:bottom w:val="single" w:color="C9D6E5" w:sz="1"/>
              <w:right w:val="single" w:color="C9D6E5" w:sz="1"/>
            </w:tcBorders>
            <w:shd w:fill="F2F6FB" w:val="clear"/>
            <w:tcMar>
              <w:top w:type="dxa" w:w="80"/>
              <w:left w:type="dxa" w:w="120"/>
              <w:bottom w:type="dxa" w:w="80"/>
              <w:right w:type="dxa" w:w="120"/>
            </w:tcMar>
            <w:vAlign w:val="center"/>
          </w:tcPr>
          <w:p>
            <w:pPr>
              <w:spacing w:after="0" w:line="264"/>
            </w:pPr>
            <w:r>
              <w:rPr>
                <w:b w:val="false"/>
                <w:bCs w:val="false"/>
              </w:rPr>
              <w:t xml:space="preserve">Grounded retrieval over 10k+ docs</w:t>
            </w:r>
          </w:p>
        </w:tc>
        <w:tc>
          <w:tcPr>
            <w:tcW w:type="dxa" w:w="3480"/>
            <w:tcBorders>
              <w:top w:val="single" w:color="C9D6E5" w:sz="1"/>
              <w:left w:val="single" w:color="C9D6E5" w:sz="1"/>
              <w:bottom w:val="single" w:color="C9D6E5" w:sz="1"/>
              <w:right w:val="single" w:color="C9D6E5" w:sz="1"/>
            </w:tcBorders>
            <w:shd w:fill="F2F6FB" w:val="clear"/>
            <w:tcMar>
              <w:top w:type="dxa" w:w="80"/>
              <w:left w:type="dxa" w:w="120"/>
              <w:bottom w:type="dxa" w:w="80"/>
              <w:right w:type="dxa" w:w="120"/>
            </w:tcMar>
            <w:vAlign w:val="center"/>
          </w:tcPr>
          <w:p>
            <w:pPr>
              <w:spacing w:after="0" w:line="264"/>
            </w:pPr>
            <w:r>
              <w:rPr>
                <w:b w:val="false"/>
                <w:bCs w:val="false"/>
              </w:rPr>
              <w:t xml:space="preserve">Hybrid retrieval: HNSW vector + BM25 keyword, with semantic ranking; the retrieval substrate for all five specialists</w:t>
            </w:r>
          </w:p>
        </w:tc>
      </w:tr>
      <w:tr>
        <w:tc>
          <w:tcPr>
            <w:tcW w:type="dxa" w:w="2400"/>
            <w:tcBorders>
              <w:top w:val="single" w:color="C9D6E5" w:sz="1"/>
              <w:left w:val="single" w:color="C9D6E5" w:sz="1"/>
              <w:bottom w:val="single" w:color="C9D6E5" w:sz="1"/>
              <w:right w:val="single" w:color="C9D6E5" w:sz="1"/>
            </w:tcBorders>
            <w:shd w:fill="FFFFFF" w:val="clear"/>
            <w:tcMar>
              <w:top w:type="dxa" w:w="80"/>
              <w:left w:type="dxa" w:w="120"/>
              <w:bottom w:type="dxa" w:w="80"/>
              <w:right w:type="dxa" w:w="120"/>
            </w:tcMar>
            <w:vAlign w:val="center"/>
          </w:tcPr>
          <w:p>
            <w:pPr>
              <w:spacing w:after="0" w:line="264"/>
            </w:pPr>
            <w:r>
              <w:rPr>
                <w:b w:val="false"/>
                <w:bCs w:val="false"/>
              </w:rPr>
              <w:t xml:space="preserve">Azure Document Intelligence</w:t>
            </w:r>
          </w:p>
        </w:tc>
        <w:tc>
          <w:tcPr>
            <w:tcW w:type="dxa" w:w="3480"/>
            <w:tcBorders>
              <w:top w:val="single" w:color="C9D6E5" w:sz="1"/>
              <w:left w:val="single" w:color="C9D6E5" w:sz="1"/>
              <w:bottom w:val="single" w:color="C9D6E5" w:sz="1"/>
              <w:right w:val="single" w:color="C9D6E5" w:sz="1"/>
            </w:tcBorders>
            <w:shd w:fill="FFFFFF" w:val="clear"/>
            <w:tcMar>
              <w:top w:type="dxa" w:w="80"/>
              <w:left w:type="dxa" w:w="120"/>
              <w:bottom w:type="dxa" w:w="80"/>
              <w:right w:type="dxa" w:w="120"/>
            </w:tcMar>
            <w:vAlign w:val="center"/>
          </w:tcPr>
          <w:p>
            <w:pPr>
              <w:spacing w:after="0" w:line="264"/>
            </w:pPr>
            <w:r>
              <w:rPr>
                <w:b w:val="false"/>
                <w:bCs w:val="false"/>
              </w:rPr>
              <w:t xml:space="preserve">Layout- and table-aware parsing</w:t>
            </w:r>
          </w:p>
        </w:tc>
        <w:tc>
          <w:tcPr>
            <w:tcW w:type="dxa" w:w="3480"/>
            <w:tcBorders>
              <w:top w:val="single" w:color="C9D6E5" w:sz="1"/>
              <w:left w:val="single" w:color="C9D6E5" w:sz="1"/>
              <w:bottom w:val="single" w:color="C9D6E5" w:sz="1"/>
              <w:right w:val="single" w:color="C9D6E5" w:sz="1"/>
            </w:tcBorders>
            <w:shd w:fill="FFFFFF" w:val="clear"/>
            <w:tcMar>
              <w:top w:type="dxa" w:w="80"/>
              <w:left w:type="dxa" w:w="120"/>
              <w:bottom w:type="dxa" w:w="80"/>
              <w:right w:type="dxa" w:w="120"/>
            </w:tcMar>
            <w:vAlign w:val="center"/>
          </w:tcPr>
          <w:p>
            <w:pPr>
              <w:spacing w:after="0" w:line="264"/>
            </w:pPr>
            <w:r>
              <w:rPr>
                <w:b w:val="false"/>
                <w:bCs w:val="false"/>
              </w:rPr>
              <w:t xml:space="preserve">Extracts structure from dense regulatory PDFs so tables and sections survive — the fix for the contraindication blind spot</w:t>
            </w:r>
          </w:p>
        </w:tc>
      </w:tr>
    </w:tbl>
    <w:p>
      <w:pPr>
        <w:pStyle w:val="Heading2"/>
      </w:pPr>
      <w:r>
        <w:t xml:space="preserve">Data, state &amp; ingestion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C9D6E5" w:sz="1"/>
              <w:left w:val="single" w:color="C9D6E5" w:sz="1"/>
              <w:bottom w:val="single" w:color="C9D6E5" w:sz="1"/>
              <w:right w:val="single" w:color="C9D6E5" w:sz="1"/>
            </w:tcBorders>
            <w:shd w:fill="1F3864" w:val="clear"/>
            <w:tcMar>
              <w:top w:type="dxa" w:w="80"/>
              <w:left w:type="dxa" w:w="120"/>
              <w:bottom w:type="dxa" w:w="80"/>
              <w:right w:type="dxa" w:w="120"/>
            </w:tcMar>
            <w:vAlign w:val="center"/>
          </w:tcPr>
          <w:p>
            <w:pPr>
              <w:spacing w:after="0" w:line="264"/>
            </w:pPr>
            <w:r>
              <w:rPr>
                <w:b/>
                <w:bCs/>
                <w:color w:val="FFFFFF"/>
              </w:rPr>
              <w:t xml:space="preserve">Service</w:t>
            </w:r>
          </w:p>
        </w:tc>
        <w:tc>
          <w:tcPr>
            <w:tcW w:type="dxa" w:w="3480"/>
            <w:tcBorders>
              <w:top w:val="single" w:color="C9D6E5" w:sz="1"/>
              <w:left w:val="single" w:color="C9D6E5" w:sz="1"/>
              <w:bottom w:val="single" w:color="C9D6E5" w:sz="1"/>
              <w:right w:val="single" w:color="C9D6E5" w:sz="1"/>
            </w:tcBorders>
            <w:shd w:fill="1F3864" w:val="clear"/>
            <w:tcMar>
              <w:top w:type="dxa" w:w="80"/>
              <w:left w:type="dxa" w:w="120"/>
              <w:bottom w:type="dxa" w:w="80"/>
              <w:right w:type="dxa" w:w="120"/>
            </w:tcMar>
            <w:vAlign w:val="center"/>
          </w:tcPr>
          <w:p>
            <w:pPr>
              <w:spacing w:after="0" w:line="264"/>
            </w:pPr>
            <w:r>
              <w:rPr>
                <w:b/>
                <w:bCs/>
                <w:color w:val="FFFFFF"/>
              </w:rPr>
              <w:t xml:space="preserve">Why it’s there</w:t>
            </w:r>
          </w:p>
        </w:tc>
        <w:tc>
          <w:tcPr>
            <w:tcW w:type="dxa" w:w="3480"/>
            <w:tcBorders>
              <w:top w:val="single" w:color="C9D6E5" w:sz="1"/>
              <w:left w:val="single" w:color="C9D6E5" w:sz="1"/>
              <w:bottom w:val="single" w:color="C9D6E5" w:sz="1"/>
              <w:right w:val="single" w:color="C9D6E5" w:sz="1"/>
            </w:tcBorders>
            <w:shd w:fill="1F3864" w:val="clear"/>
            <w:tcMar>
              <w:top w:type="dxa" w:w="80"/>
              <w:left w:type="dxa" w:w="120"/>
              <w:bottom w:type="dxa" w:w="80"/>
              <w:right w:type="dxa" w:w="120"/>
            </w:tcMar>
            <w:vAlign w:val="center"/>
          </w:tcPr>
          <w:p>
            <w:pPr>
              <w:spacing w:after="0" w:line="264"/>
            </w:pPr>
            <w:r>
              <w:rPr>
                <w:b/>
                <w:bCs/>
                <w:color w:val="FFFFFF"/>
              </w:rPr>
              <w:t xml:space="preserve">How it’s used</w:t>
            </w:r>
          </w:p>
        </w:tc>
      </w:tr>
      <w:tr>
        <w:tc>
          <w:tcPr>
            <w:tcW w:type="dxa" w:w="2400"/>
            <w:tcBorders>
              <w:top w:val="single" w:color="C9D6E5" w:sz="1"/>
              <w:left w:val="single" w:color="C9D6E5" w:sz="1"/>
              <w:bottom w:val="single" w:color="C9D6E5" w:sz="1"/>
              <w:right w:val="single" w:color="C9D6E5" w:sz="1"/>
            </w:tcBorders>
            <w:shd w:fill="FFFFFF" w:val="clear"/>
            <w:tcMar>
              <w:top w:type="dxa" w:w="80"/>
              <w:left w:type="dxa" w:w="120"/>
              <w:bottom w:type="dxa" w:w="80"/>
              <w:right w:type="dxa" w:w="120"/>
            </w:tcMar>
            <w:vAlign w:val="center"/>
          </w:tcPr>
          <w:p>
            <w:pPr>
              <w:spacing w:after="0" w:line="264"/>
            </w:pPr>
            <w:r>
              <w:rPr>
                <w:b w:val="false"/>
                <w:bCs w:val="false"/>
              </w:rPr>
              <w:t xml:space="preserve">Azure Blob Storage</w:t>
            </w:r>
          </w:p>
        </w:tc>
        <w:tc>
          <w:tcPr>
            <w:tcW w:type="dxa" w:w="3480"/>
            <w:tcBorders>
              <w:top w:val="single" w:color="C9D6E5" w:sz="1"/>
              <w:left w:val="single" w:color="C9D6E5" w:sz="1"/>
              <w:bottom w:val="single" w:color="C9D6E5" w:sz="1"/>
              <w:right w:val="single" w:color="C9D6E5" w:sz="1"/>
            </w:tcBorders>
            <w:shd w:fill="FFFFFF" w:val="clear"/>
            <w:tcMar>
              <w:top w:type="dxa" w:w="80"/>
              <w:left w:type="dxa" w:w="120"/>
              <w:bottom w:type="dxa" w:w="80"/>
              <w:right w:type="dxa" w:w="120"/>
            </w:tcMar>
            <w:vAlign w:val="center"/>
          </w:tcPr>
          <w:p>
            <w:pPr>
              <w:spacing w:after="0" w:line="264"/>
            </w:pPr>
            <w:r>
              <w:rPr>
                <w:b w:val="false"/>
                <w:bCs w:val="false"/>
              </w:rPr>
              <w:t xml:space="preserve">Source-of-truth document store</w:t>
            </w:r>
          </w:p>
        </w:tc>
        <w:tc>
          <w:tcPr>
            <w:tcW w:type="dxa" w:w="3480"/>
            <w:tcBorders>
              <w:top w:val="single" w:color="C9D6E5" w:sz="1"/>
              <w:left w:val="single" w:color="C9D6E5" w:sz="1"/>
              <w:bottom w:val="single" w:color="C9D6E5" w:sz="1"/>
              <w:right w:val="single" w:color="C9D6E5" w:sz="1"/>
            </w:tcBorders>
            <w:shd w:fill="FFFFFF" w:val="clear"/>
            <w:tcMar>
              <w:top w:type="dxa" w:w="80"/>
              <w:left w:type="dxa" w:w="120"/>
              <w:bottom w:type="dxa" w:w="80"/>
              <w:right w:type="dxa" w:w="120"/>
            </w:tcMar>
            <w:vAlign w:val="center"/>
          </w:tcPr>
          <w:p>
            <w:pPr>
              <w:spacing w:after="0" w:line="264"/>
            </w:pPr>
            <w:r>
              <w:rPr>
                <w:b w:val="false"/>
                <w:bCs w:val="false"/>
              </w:rPr>
              <w:t xml:space="preserve">Holds raw scientific documents; origin of the ingestion pipeline</w:t>
            </w:r>
          </w:p>
        </w:tc>
      </w:tr>
      <w:tr>
        <w:tc>
          <w:tcPr>
            <w:tcW w:type="dxa" w:w="2400"/>
            <w:tcBorders>
              <w:top w:val="single" w:color="C9D6E5" w:sz="1"/>
              <w:left w:val="single" w:color="C9D6E5" w:sz="1"/>
              <w:bottom w:val="single" w:color="C9D6E5" w:sz="1"/>
              <w:right w:val="single" w:color="C9D6E5" w:sz="1"/>
            </w:tcBorders>
            <w:shd w:fill="F2F6FB" w:val="clear"/>
            <w:tcMar>
              <w:top w:type="dxa" w:w="80"/>
              <w:left w:type="dxa" w:w="120"/>
              <w:bottom w:type="dxa" w:w="80"/>
              <w:right w:type="dxa" w:w="120"/>
            </w:tcMar>
            <w:vAlign w:val="center"/>
          </w:tcPr>
          <w:p>
            <w:pPr>
              <w:spacing w:after="0" w:line="264"/>
            </w:pPr>
            <w:r>
              <w:rPr>
                <w:b w:val="false"/>
                <w:bCs w:val="false"/>
              </w:rPr>
              <w:t xml:space="preserve">Azure Event Grid</w:t>
            </w:r>
          </w:p>
        </w:tc>
        <w:tc>
          <w:tcPr>
            <w:tcW w:type="dxa" w:w="3480"/>
            <w:tcBorders>
              <w:top w:val="single" w:color="C9D6E5" w:sz="1"/>
              <w:left w:val="single" w:color="C9D6E5" w:sz="1"/>
              <w:bottom w:val="single" w:color="C9D6E5" w:sz="1"/>
              <w:right w:val="single" w:color="C9D6E5" w:sz="1"/>
            </w:tcBorders>
            <w:shd w:fill="F2F6FB" w:val="clear"/>
            <w:tcMar>
              <w:top w:type="dxa" w:w="80"/>
              <w:left w:type="dxa" w:w="120"/>
              <w:bottom w:type="dxa" w:w="80"/>
              <w:right w:type="dxa" w:w="120"/>
            </w:tcMar>
            <w:vAlign w:val="center"/>
          </w:tcPr>
          <w:p>
            <w:pPr>
              <w:spacing w:after="0" w:line="264"/>
            </w:pPr>
            <w:r>
              <w:rPr>
                <w:b w:val="false"/>
                <w:bCs w:val="false"/>
              </w:rPr>
              <w:t xml:space="preserve">Discrete “new blob landed” events</w:t>
            </w:r>
          </w:p>
        </w:tc>
        <w:tc>
          <w:tcPr>
            <w:tcW w:type="dxa" w:w="3480"/>
            <w:tcBorders>
              <w:top w:val="single" w:color="C9D6E5" w:sz="1"/>
              <w:left w:val="single" w:color="C9D6E5" w:sz="1"/>
              <w:bottom w:val="single" w:color="C9D6E5" w:sz="1"/>
              <w:right w:val="single" w:color="C9D6E5" w:sz="1"/>
            </w:tcBorders>
            <w:shd w:fill="F2F6FB" w:val="clear"/>
            <w:tcMar>
              <w:top w:type="dxa" w:w="80"/>
              <w:left w:type="dxa" w:w="120"/>
              <w:bottom w:type="dxa" w:w="80"/>
              <w:right w:type="dxa" w:w="120"/>
            </w:tcMar>
            <w:vAlign w:val="center"/>
          </w:tcPr>
          <w:p>
            <w:pPr>
              <w:spacing w:after="0" w:line="264"/>
            </w:pPr>
            <w:r>
              <w:rPr>
                <w:b w:val="false"/>
                <w:bCs w:val="false"/>
              </w:rPr>
              <w:t xml:space="preserve">Fires notifications when documents arrive, kicking off ingestion</w:t>
            </w:r>
          </w:p>
        </w:tc>
      </w:tr>
      <w:tr>
        <w:tc>
          <w:tcPr>
            <w:tcW w:type="dxa" w:w="2400"/>
            <w:tcBorders>
              <w:top w:val="single" w:color="C9D6E5" w:sz="1"/>
              <w:left w:val="single" w:color="C9D6E5" w:sz="1"/>
              <w:bottom w:val="single" w:color="C9D6E5" w:sz="1"/>
              <w:right w:val="single" w:color="C9D6E5" w:sz="1"/>
            </w:tcBorders>
            <w:shd w:fill="FFFFFF" w:val="clear"/>
            <w:tcMar>
              <w:top w:type="dxa" w:w="80"/>
              <w:left w:type="dxa" w:w="120"/>
              <w:bottom w:type="dxa" w:w="80"/>
              <w:right w:type="dxa" w:w="120"/>
            </w:tcMar>
            <w:vAlign w:val="center"/>
          </w:tcPr>
          <w:p>
            <w:pPr>
              <w:spacing w:after="0" w:line="264"/>
            </w:pPr>
            <w:r>
              <w:rPr>
                <w:b w:val="false"/>
                <w:bCs w:val="false"/>
              </w:rPr>
              <w:t xml:space="preserve">Azure Event Hub</w:t>
            </w:r>
          </w:p>
        </w:tc>
        <w:tc>
          <w:tcPr>
            <w:tcW w:type="dxa" w:w="3480"/>
            <w:tcBorders>
              <w:top w:val="single" w:color="C9D6E5" w:sz="1"/>
              <w:left w:val="single" w:color="C9D6E5" w:sz="1"/>
              <w:bottom w:val="single" w:color="C9D6E5" w:sz="1"/>
              <w:right w:val="single" w:color="C9D6E5" w:sz="1"/>
            </w:tcBorders>
            <w:shd w:fill="FFFFFF" w:val="clear"/>
            <w:tcMar>
              <w:top w:type="dxa" w:w="80"/>
              <w:left w:type="dxa" w:w="120"/>
              <w:bottom w:type="dxa" w:w="80"/>
              <w:right w:type="dxa" w:w="120"/>
            </w:tcMar>
            <w:vAlign w:val="center"/>
          </w:tcPr>
          <w:p>
            <w:pPr>
              <w:spacing w:after="0" w:line="264"/>
            </w:pPr>
            <w:r>
              <w:rPr>
                <w:b w:val="false"/>
                <w:bCs w:val="false"/>
              </w:rPr>
              <w:t xml:space="preserve">High-throughput streaming buffer + replay</w:t>
            </w:r>
          </w:p>
        </w:tc>
        <w:tc>
          <w:tcPr>
            <w:tcW w:type="dxa" w:w="3480"/>
            <w:tcBorders>
              <w:top w:val="single" w:color="C9D6E5" w:sz="1"/>
              <w:left w:val="single" w:color="C9D6E5" w:sz="1"/>
              <w:bottom w:val="single" w:color="C9D6E5" w:sz="1"/>
              <w:right w:val="single" w:color="C9D6E5" w:sz="1"/>
            </w:tcBorders>
            <w:shd w:fill="FFFFFF" w:val="clear"/>
            <w:tcMar>
              <w:top w:type="dxa" w:w="80"/>
              <w:left w:type="dxa" w:w="120"/>
              <w:bottom w:type="dxa" w:w="80"/>
              <w:right w:type="dxa" w:w="120"/>
            </w:tcMar>
            <w:vAlign w:val="center"/>
          </w:tcPr>
          <w:p>
            <w:pPr>
              <w:spacing w:after="0" w:line="264"/>
            </w:pPr>
            <w:r>
              <w:rPr>
                <w:b w:val="false"/>
                <w:bCs w:val="false"/>
              </w:rPr>
              <w:t xml:space="preserve">Absorbs bursty ingestion events and telemetry; decouples arrival from heavy ETL; partitioned, replayable</w:t>
            </w:r>
          </w:p>
        </w:tc>
      </w:tr>
      <w:tr>
        <w:tc>
          <w:tcPr>
            <w:tcW w:type="dxa" w:w="2400"/>
            <w:tcBorders>
              <w:top w:val="single" w:color="C9D6E5" w:sz="1"/>
              <w:left w:val="single" w:color="C9D6E5" w:sz="1"/>
              <w:bottom w:val="single" w:color="C9D6E5" w:sz="1"/>
              <w:right w:val="single" w:color="C9D6E5" w:sz="1"/>
            </w:tcBorders>
            <w:shd w:fill="F2F6FB" w:val="clear"/>
            <w:tcMar>
              <w:top w:type="dxa" w:w="80"/>
              <w:left w:type="dxa" w:w="120"/>
              <w:bottom w:type="dxa" w:w="80"/>
              <w:right w:type="dxa" w:w="120"/>
            </w:tcMar>
            <w:vAlign w:val="center"/>
          </w:tcPr>
          <w:p>
            <w:pPr>
              <w:spacing w:after="0" w:line="264"/>
            </w:pPr>
            <w:r>
              <w:rPr>
                <w:b w:val="false"/>
                <w:bCs w:val="false"/>
              </w:rPr>
              <w:t xml:space="preserve">Azure Data Factory</w:t>
            </w:r>
          </w:p>
        </w:tc>
        <w:tc>
          <w:tcPr>
            <w:tcW w:type="dxa" w:w="3480"/>
            <w:tcBorders>
              <w:top w:val="single" w:color="C9D6E5" w:sz="1"/>
              <w:left w:val="single" w:color="C9D6E5" w:sz="1"/>
              <w:bottom w:val="single" w:color="C9D6E5" w:sz="1"/>
              <w:right w:val="single" w:color="C9D6E5" w:sz="1"/>
            </w:tcBorders>
            <w:shd w:fill="F2F6FB" w:val="clear"/>
            <w:tcMar>
              <w:top w:type="dxa" w:w="80"/>
              <w:left w:type="dxa" w:w="120"/>
              <w:bottom w:type="dxa" w:w="80"/>
              <w:right w:type="dxa" w:w="120"/>
            </w:tcMar>
            <w:vAlign w:val="center"/>
          </w:tcPr>
          <w:p>
            <w:pPr>
              <w:spacing w:after="0" w:line="264"/>
            </w:pPr>
            <w:r>
              <w:rPr>
                <w:b w:val="false"/>
                <w:bCs w:val="false"/>
              </w:rPr>
              <w:t xml:space="preserve">ETL orchestration</w:t>
            </w:r>
          </w:p>
        </w:tc>
        <w:tc>
          <w:tcPr>
            <w:tcW w:type="dxa" w:w="3480"/>
            <w:tcBorders>
              <w:top w:val="single" w:color="C9D6E5" w:sz="1"/>
              <w:left w:val="single" w:color="C9D6E5" w:sz="1"/>
              <w:bottom w:val="single" w:color="C9D6E5" w:sz="1"/>
              <w:right w:val="single" w:color="C9D6E5" w:sz="1"/>
            </w:tcBorders>
            <w:shd w:fill="F2F6FB" w:val="clear"/>
            <w:tcMar>
              <w:top w:type="dxa" w:w="80"/>
              <w:left w:type="dxa" w:w="120"/>
              <w:bottom w:type="dxa" w:w="80"/>
              <w:right w:type="dxa" w:w="120"/>
            </w:tcMar>
            <w:vAlign w:val="center"/>
          </w:tcPr>
          <w:p>
            <w:pPr>
              <w:spacing w:after="0" w:line="264"/>
            </w:pPr>
            <w:r>
              <w:rPr>
                <w:b w:val="false"/>
                <w:bCs w:val="false"/>
              </w:rPr>
              <w:t xml:space="preserve">Pulls from Event Hub and orchestrates the transform pipeline into Databricks</w:t>
            </w:r>
          </w:p>
        </w:tc>
      </w:tr>
      <w:tr>
        <w:tc>
          <w:tcPr>
            <w:tcW w:type="dxa" w:w="2400"/>
            <w:tcBorders>
              <w:top w:val="single" w:color="C9D6E5" w:sz="1"/>
              <w:left w:val="single" w:color="C9D6E5" w:sz="1"/>
              <w:bottom w:val="single" w:color="C9D6E5" w:sz="1"/>
              <w:right w:val="single" w:color="C9D6E5" w:sz="1"/>
            </w:tcBorders>
            <w:shd w:fill="FFFFFF" w:val="clear"/>
            <w:tcMar>
              <w:top w:type="dxa" w:w="80"/>
              <w:left w:type="dxa" w:w="120"/>
              <w:bottom w:type="dxa" w:w="80"/>
              <w:right w:type="dxa" w:w="120"/>
            </w:tcMar>
            <w:vAlign w:val="center"/>
          </w:tcPr>
          <w:p>
            <w:pPr>
              <w:spacing w:after="0" w:line="264"/>
            </w:pPr>
            <w:r>
              <w:rPr>
                <w:b w:val="false"/>
                <w:bCs w:val="false"/>
              </w:rPr>
              <w:t xml:space="preserve">Azure Databricks</w:t>
            </w:r>
          </w:p>
        </w:tc>
        <w:tc>
          <w:tcPr>
            <w:tcW w:type="dxa" w:w="3480"/>
            <w:tcBorders>
              <w:top w:val="single" w:color="C9D6E5" w:sz="1"/>
              <w:left w:val="single" w:color="C9D6E5" w:sz="1"/>
              <w:bottom w:val="single" w:color="C9D6E5" w:sz="1"/>
              <w:right w:val="single" w:color="C9D6E5" w:sz="1"/>
            </w:tcBorders>
            <w:shd w:fill="FFFFFF" w:val="clear"/>
            <w:tcMar>
              <w:top w:type="dxa" w:w="80"/>
              <w:left w:type="dxa" w:w="120"/>
              <w:bottom w:type="dxa" w:w="80"/>
              <w:right w:type="dxa" w:w="120"/>
            </w:tcMar>
            <w:vAlign w:val="center"/>
          </w:tcPr>
          <w:p>
            <w:pPr>
              <w:spacing w:after="0" w:line="264"/>
            </w:pPr>
            <w:r>
              <w:rPr>
                <w:b w:val="false"/>
                <w:bCs w:val="false"/>
              </w:rPr>
              <w:t xml:space="preserve">Heavy transforms &amp; embedding generation</w:t>
            </w:r>
          </w:p>
        </w:tc>
        <w:tc>
          <w:tcPr>
            <w:tcW w:type="dxa" w:w="3480"/>
            <w:tcBorders>
              <w:top w:val="single" w:color="C9D6E5" w:sz="1"/>
              <w:left w:val="single" w:color="C9D6E5" w:sz="1"/>
              <w:bottom w:val="single" w:color="C9D6E5" w:sz="1"/>
              <w:right w:val="single" w:color="C9D6E5" w:sz="1"/>
            </w:tcBorders>
            <w:shd w:fill="FFFFFF" w:val="clear"/>
            <w:tcMar>
              <w:top w:type="dxa" w:w="80"/>
              <w:left w:type="dxa" w:w="120"/>
              <w:bottom w:type="dxa" w:w="80"/>
              <w:right w:type="dxa" w:w="120"/>
            </w:tcMar>
            <w:vAlign w:val="center"/>
          </w:tcPr>
          <w:p>
            <w:pPr>
              <w:spacing w:after="0" w:line="264"/>
            </w:pPr>
            <w:r>
              <w:rPr>
                <w:b w:val="false"/>
                <w:bCs w:val="false"/>
              </w:rPr>
              <w:t xml:space="preserve">Chunking, enrichment, and embedding at scale; long-term analytics on tool usage and hallucination rates</w:t>
            </w:r>
          </w:p>
        </w:tc>
      </w:tr>
      <w:tr>
        <w:tc>
          <w:tcPr>
            <w:tcW w:type="dxa" w:w="2400"/>
            <w:tcBorders>
              <w:top w:val="single" w:color="C9D6E5" w:sz="1"/>
              <w:left w:val="single" w:color="C9D6E5" w:sz="1"/>
              <w:bottom w:val="single" w:color="C9D6E5" w:sz="1"/>
              <w:right w:val="single" w:color="C9D6E5" w:sz="1"/>
            </w:tcBorders>
            <w:shd w:fill="F2F6FB" w:val="clear"/>
            <w:tcMar>
              <w:top w:type="dxa" w:w="80"/>
              <w:left w:type="dxa" w:w="120"/>
              <w:bottom w:type="dxa" w:w="80"/>
              <w:right w:type="dxa" w:w="120"/>
            </w:tcMar>
            <w:vAlign w:val="center"/>
          </w:tcPr>
          <w:p>
            <w:pPr>
              <w:spacing w:after="0" w:line="264"/>
            </w:pPr>
            <w:r>
              <w:rPr>
                <w:b w:val="false"/>
                <w:bCs w:val="false"/>
              </w:rPr>
              <w:t xml:space="preserve">Azure Cache for Redis</w:t>
            </w:r>
          </w:p>
        </w:tc>
        <w:tc>
          <w:tcPr>
            <w:tcW w:type="dxa" w:w="3480"/>
            <w:tcBorders>
              <w:top w:val="single" w:color="C9D6E5" w:sz="1"/>
              <w:left w:val="single" w:color="C9D6E5" w:sz="1"/>
              <w:bottom w:val="single" w:color="C9D6E5" w:sz="1"/>
              <w:right w:val="single" w:color="C9D6E5" w:sz="1"/>
            </w:tcBorders>
            <w:shd w:fill="F2F6FB" w:val="clear"/>
            <w:tcMar>
              <w:top w:type="dxa" w:w="80"/>
              <w:left w:type="dxa" w:w="120"/>
              <w:bottom w:type="dxa" w:w="80"/>
              <w:right w:type="dxa" w:w="120"/>
            </w:tcMar>
            <w:vAlign w:val="center"/>
          </w:tcPr>
          <w:p>
            <w:pPr>
              <w:spacing w:after="0" w:line="264"/>
            </w:pPr>
            <w:r>
              <w:rPr>
                <w:b w:val="false"/>
                <w:bCs w:val="false"/>
              </w:rPr>
              <w:t xml:space="preserve">Low-latency session state</w:t>
            </w:r>
          </w:p>
        </w:tc>
        <w:tc>
          <w:tcPr>
            <w:tcW w:type="dxa" w:w="3480"/>
            <w:tcBorders>
              <w:top w:val="single" w:color="C9D6E5" w:sz="1"/>
              <w:left w:val="single" w:color="C9D6E5" w:sz="1"/>
              <w:bottom w:val="single" w:color="C9D6E5" w:sz="1"/>
              <w:right w:val="single" w:color="C9D6E5" w:sz="1"/>
            </w:tcBorders>
            <w:shd w:fill="F2F6FB" w:val="clear"/>
            <w:tcMar>
              <w:top w:type="dxa" w:w="80"/>
              <w:left w:type="dxa" w:w="120"/>
              <w:bottom w:type="dxa" w:w="80"/>
              <w:right w:type="dxa" w:w="120"/>
            </w:tcMar>
            <w:vAlign w:val="center"/>
          </w:tcPr>
          <w:p>
            <w:pPr>
              <w:spacing w:after="0" w:line="264"/>
            </w:pPr>
            <w:r>
              <w:rPr>
                <w:b w:val="false"/>
                <w:bCs w:val="false"/>
              </w:rPr>
              <w:t xml:space="preserve">Stores conversation/session context; keeps agents stateless</w:t>
            </w:r>
          </w:p>
        </w:tc>
      </w:tr>
      <w:tr>
        <w:tc>
          <w:tcPr>
            <w:tcW w:type="dxa" w:w="2400"/>
            <w:tcBorders>
              <w:top w:val="single" w:color="C9D6E5" w:sz="1"/>
              <w:left w:val="single" w:color="C9D6E5" w:sz="1"/>
              <w:bottom w:val="single" w:color="C9D6E5" w:sz="1"/>
              <w:right w:val="single" w:color="C9D6E5" w:sz="1"/>
            </w:tcBorders>
            <w:shd w:fill="FFFFFF" w:val="clear"/>
            <w:tcMar>
              <w:top w:type="dxa" w:w="80"/>
              <w:left w:type="dxa" w:w="120"/>
              <w:bottom w:type="dxa" w:w="80"/>
              <w:right w:type="dxa" w:w="120"/>
            </w:tcMar>
            <w:vAlign w:val="center"/>
          </w:tcPr>
          <w:p>
            <w:pPr>
              <w:spacing w:after="0" w:line="264"/>
            </w:pPr>
            <w:r>
              <w:rPr>
                <w:b w:val="false"/>
                <w:bCs w:val="false"/>
              </w:rPr>
              <w:t xml:space="preserve">Azure Cosmos DB</w:t>
            </w:r>
          </w:p>
        </w:tc>
        <w:tc>
          <w:tcPr>
            <w:tcW w:type="dxa" w:w="3480"/>
            <w:tcBorders>
              <w:top w:val="single" w:color="C9D6E5" w:sz="1"/>
              <w:left w:val="single" w:color="C9D6E5" w:sz="1"/>
              <w:bottom w:val="single" w:color="C9D6E5" w:sz="1"/>
              <w:right w:val="single" w:color="C9D6E5" w:sz="1"/>
            </w:tcBorders>
            <w:shd w:fill="FFFFFF" w:val="clear"/>
            <w:tcMar>
              <w:top w:type="dxa" w:w="80"/>
              <w:left w:type="dxa" w:w="120"/>
              <w:bottom w:type="dxa" w:w="80"/>
              <w:right w:type="dxa" w:w="120"/>
            </w:tcMar>
            <w:vAlign w:val="center"/>
          </w:tcPr>
          <w:p>
            <w:pPr>
              <w:spacing w:after="0" w:line="264"/>
            </w:pPr>
            <w:r>
              <w:rPr>
                <w:b w:val="false"/>
                <w:bCs w:val="false"/>
              </w:rPr>
              <w:t xml:space="preserve">Durable audit log, parent-doc store, saga state</w:t>
            </w:r>
          </w:p>
        </w:tc>
        <w:tc>
          <w:tcPr>
            <w:tcW w:type="dxa" w:w="3480"/>
            <w:tcBorders>
              <w:top w:val="single" w:color="C9D6E5" w:sz="1"/>
              <w:left w:val="single" w:color="C9D6E5" w:sz="1"/>
              <w:bottom w:val="single" w:color="C9D6E5" w:sz="1"/>
              <w:right w:val="single" w:color="C9D6E5" w:sz="1"/>
            </w:tcBorders>
            <w:shd w:fill="FFFFFF" w:val="clear"/>
            <w:tcMar>
              <w:top w:type="dxa" w:w="80"/>
              <w:left w:type="dxa" w:w="120"/>
              <w:bottom w:type="dxa" w:w="80"/>
              <w:right w:type="dxa" w:w="120"/>
            </w:tcMar>
            <w:vAlign w:val="center"/>
          </w:tcPr>
          <w:p>
            <w:pPr>
              <w:spacing w:after="0" w:line="264"/>
            </w:pPr>
            <w:r>
              <w:rPr>
                <w:b w:val="false"/>
                <w:bCs w:val="false"/>
              </w:rPr>
              <w:t xml:space="preserve">Structured audit records for FDA/EMA; parent chunks for hierarchical retrieval; saga correlation state</w:t>
            </w:r>
          </w:p>
        </w:tc>
      </w:tr>
      <w:tr>
        <w:tc>
          <w:tcPr>
            <w:tcW w:type="dxa" w:w="2400"/>
            <w:tcBorders>
              <w:top w:val="single" w:color="C9D6E5" w:sz="1"/>
              <w:left w:val="single" w:color="C9D6E5" w:sz="1"/>
              <w:bottom w:val="single" w:color="C9D6E5" w:sz="1"/>
              <w:right w:val="single" w:color="C9D6E5" w:sz="1"/>
            </w:tcBorders>
            <w:shd w:fill="F2F6FB" w:val="clear"/>
            <w:tcMar>
              <w:top w:type="dxa" w:w="80"/>
              <w:left w:type="dxa" w:w="120"/>
              <w:bottom w:type="dxa" w:w="80"/>
              <w:right w:type="dxa" w:w="120"/>
            </w:tcMar>
            <w:vAlign w:val="center"/>
          </w:tcPr>
          <w:p>
            <w:pPr>
              <w:spacing w:after="0" w:line="264"/>
            </w:pPr>
            <w:r>
              <w:rPr>
                <w:b w:val="false"/>
                <w:bCs w:val="false"/>
              </w:rPr>
              <w:t xml:space="preserve">Azure Service Bus</w:t>
            </w:r>
          </w:p>
        </w:tc>
        <w:tc>
          <w:tcPr>
            <w:tcW w:type="dxa" w:w="3480"/>
            <w:tcBorders>
              <w:top w:val="single" w:color="C9D6E5" w:sz="1"/>
              <w:left w:val="single" w:color="C9D6E5" w:sz="1"/>
              <w:bottom w:val="single" w:color="C9D6E5" w:sz="1"/>
              <w:right w:val="single" w:color="C9D6E5" w:sz="1"/>
            </w:tcBorders>
            <w:shd w:fill="F2F6FB" w:val="clear"/>
            <w:tcMar>
              <w:top w:type="dxa" w:w="80"/>
              <w:left w:type="dxa" w:w="120"/>
              <w:bottom w:type="dxa" w:w="80"/>
              <w:right w:type="dxa" w:w="120"/>
            </w:tcMar>
            <w:vAlign w:val="center"/>
          </w:tcPr>
          <w:p>
            <w:pPr>
              <w:spacing w:after="0" w:line="264"/>
            </w:pPr>
            <w:r>
              <w:rPr>
                <w:b w:val="false"/>
                <w:bCs w:val="false"/>
              </w:rPr>
              <w:t xml:space="preserve">Transactional A2A messaging</w:t>
            </w:r>
          </w:p>
        </w:tc>
        <w:tc>
          <w:tcPr>
            <w:tcW w:type="dxa" w:w="3480"/>
            <w:tcBorders>
              <w:top w:val="single" w:color="C9D6E5" w:sz="1"/>
              <w:left w:val="single" w:color="C9D6E5" w:sz="1"/>
              <w:bottom w:val="single" w:color="C9D6E5" w:sz="1"/>
              <w:right w:val="single" w:color="C9D6E5" w:sz="1"/>
            </w:tcBorders>
            <w:shd w:fill="F2F6FB" w:val="clear"/>
            <w:tcMar>
              <w:top w:type="dxa" w:w="80"/>
              <w:left w:type="dxa" w:w="120"/>
              <w:bottom w:type="dxa" w:w="80"/>
              <w:right w:type="dxa" w:w="120"/>
            </w:tcMar>
            <w:vAlign w:val="center"/>
          </w:tcPr>
          <w:p>
            <w:pPr>
              <w:spacing w:after="0" w:line="264"/>
            </w:pPr>
            <w:r>
              <w:rPr>
                <w:b w:val="false"/>
                <w:bCs w:val="false"/>
              </w:rPr>
              <w:t xml:space="preserve">Pub/sub topics, sessions, correlation IDs, dead-letter queue — the agent coordination fabric</w:t>
            </w:r>
          </w:p>
        </w:tc>
      </w:tr>
    </w:tbl>
    <w:p>
      <w:pPr>
        <w:pStyle w:val="Heading2"/>
      </w:pPr>
      <w:r>
        <w:t xml:space="preserve">Security, identity &amp; observability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C9D6E5" w:sz="1"/>
              <w:left w:val="single" w:color="C9D6E5" w:sz="1"/>
              <w:bottom w:val="single" w:color="C9D6E5" w:sz="1"/>
              <w:right w:val="single" w:color="C9D6E5" w:sz="1"/>
            </w:tcBorders>
            <w:shd w:fill="1F3864" w:val="clear"/>
            <w:tcMar>
              <w:top w:type="dxa" w:w="80"/>
              <w:left w:type="dxa" w:w="120"/>
              <w:bottom w:type="dxa" w:w="80"/>
              <w:right w:type="dxa" w:w="120"/>
            </w:tcMar>
            <w:vAlign w:val="center"/>
          </w:tcPr>
          <w:p>
            <w:pPr>
              <w:spacing w:after="0" w:line="264"/>
            </w:pPr>
            <w:r>
              <w:rPr>
                <w:b/>
                <w:bCs/>
                <w:color w:val="FFFFFF"/>
              </w:rPr>
              <w:t xml:space="preserve">Service</w:t>
            </w:r>
          </w:p>
        </w:tc>
        <w:tc>
          <w:tcPr>
            <w:tcW w:type="dxa" w:w="3480"/>
            <w:tcBorders>
              <w:top w:val="single" w:color="C9D6E5" w:sz="1"/>
              <w:left w:val="single" w:color="C9D6E5" w:sz="1"/>
              <w:bottom w:val="single" w:color="C9D6E5" w:sz="1"/>
              <w:right w:val="single" w:color="C9D6E5" w:sz="1"/>
            </w:tcBorders>
            <w:shd w:fill="1F3864" w:val="clear"/>
            <w:tcMar>
              <w:top w:type="dxa" w:w="80"/>
              <w:left w:type="dxa" w:w="120"/>
              <w:bottom w:type="dxa" w:w="80"/>
              <w:right w:type="dxa" w:w="120"/>
            </w:tcMar>
            <w:vAlign w:val="center"/>
          </w:tcPr>
          <w:p>
            <w:pPr>
              <w:spacing w:after="0" w:line="264"/>
            </w:pPr>
            <w:r>
              <w:rPr>
                <w:b/>
                <w:bCs/>
                <w:color w:val="FFFFFF"/>
              </w:rPr>
              <w:t xml:space="preserve">Why it’s there</w:t>
            </w:r>
          </w:p>
        </w:tc>
        <w:tc>
          <w:tcPr>
            <w:tcW w:type="dxa" w:w="3480"/>
            <w:tcBorders>
              <w:top w:val="single" w:color="C9D6E5" w:sz="1"/>
              <w:left w:val="single" w:color="C9D6E5" w:sz="1"/>
              <w:bottom w:val="single" w:color="C9D6E5" w:sz="1"/>
              <w:right w:val="single" w:color="C9D6E5" w:sz="1"/>
            </w:tcBorders>
            <w:shd w:fill="1F3864" w:val="clear"/>
            <w:tcMar>
              <w:top w:type="dxa" w:w="80"/>
              <w:left w:type="dxa" w:w="120"/>
              <w:bottom w:type="dxa" w:w="80"/>
              <w:right w:type="dxa" w:w="120"/>
            </w:tcMar>
            <w:vAlign w:val="center"/>
          </w:tcPr>
          <w:p>
            <w:pPr>
              <w:spacing w:after="0" w:line="264"/>
            </w:pPr>
            <w:r>
              <w:rPr>
                <w:b/>
                <w:bCs/>
                <w:color w:val="FFFFFF"/>
              </w:rPr>
              <w:t xml:space="preserve">How it’s used</w:t>
            </w:r>
          </w:p>
        </w:tc>
      </w:tr>
      <w:tr>
        <w:tc>
          <w:tcPr>
            <w:tcW w:type="dxa" w:w="2400"/>
            <w:tcBorders>
              <w:top w:val="single" w:color="C9D6E5" w:sz="1"/>
              <w:left w:val="single" w:color="C9D6E5" w:sz="1"/>
              <w:bottom w:val="single" w:color="C9D6E5" w:sz="1"/>
              <w:right w:val="single" w:color="C9D6E5" w:sz="1"/>
            </w:tcBorders>
            <w:shd w:fill="FFFFFF" w:val="clear"/>
            <w:tcMar>
              <w:top w:type="dxa" w:w="80"/>
              <w:left w:type="dxa" w:w="120"/>
              <w:bottom w:type="dxa" w:w="80"/>
              <w:right w:type="dxa" w:w="120"/>
            </w:tcMar>
            <w:vAlign w:val="center"/>
          </w:tcPr>
          <w:p>
            <w:pPr>
              <w:spacing w:after="0" w:line="264"/>
            </w:pPr>
            <w:r>
              <w:rPr>
                <w:b w:val="false"/>
                <w:bCs w:val="false"/>
              </w:rPr>
              <w:t xml:space="preserve">Microsoft Entra ID (Workload Identity)</w:t>
            </w:r>
          </w:p>
        </w:tc>
        <w:tc>
          <w:tcPr>
            <w:tcW w:type="dxa" w:w="3480"/>
            <w:tcBorders>
              <w:top w:val="single" w:color="C9D6E5" w:sz="1"/>
              <w:left w:val="single" w:color="C9D6E5" w:sz="1"/>
              <w:bottom w:val="single" w:color="C9D6E5" w:sz="1"/>
              <w:right w:val="single" w:color="C9D6E5" w:sz="1"/>
            </w:tcBorders>
            <w:shd w:fill="FFFFFF" w:val="clear"/>
            <w:tcMar>
              <w:top w:type="dxa" w:w="80"/>
              <w:left w:type="dxa" w:w="120"/>
              <w:bottom w:type="dxa" w:w="80"/>
              <w:right w:type="dxa" w:w="120"/>
            </w:tcMar>
            <w:vAlign w:val="center"/>
          </w:tcPr>
          <w:p>
            <w:pPr>
              <w:spacing w:after="0" w:line="264"/>
            </w:pPr>
            <w:r>
              <w:rPr>
                <w:b w:val="false"/>
                <w:bCs w:val="false"/>
              </w:rPr>
              <w:t xml:space="preserve">Credential-less access to Azure resources</w:t>
            </w:r>
          </w:p>
        </w:tc>
        <w:tc>
          <w:tcPr>
            <w:tcW w:type="dxa" w:w="3480"/>
            <w:tcBorders>
              <w:top w:val="single" w:color="C9D6E5" w:sz="1"/>
              <w:left w:val="single" w:color="C9D6E5" w:sz="1"/>
              <w:bottom w:val="single" w:color="C9D6E5" w:sz="1"/>
              <w:right w:val="single" w:color="C9D6E5" w:sz="1"/>
            </w:tcBorders>
            <w:shd w:fill="FFFFFF" w:val="clear"/>
            <w:tcMar>
              <w:top w:type="dxa" w:w="80"/>
              <w:left w:type="dxa" w:w="120"/>
              <w:bottom w:type="dxa" w:w="80"/>
              <w:right w:type="dxa" w:w="120"/>
            </w:tcMar>
            <w:vAlign w:val="center"/>
          </w:tcPr>
          <w:p>
            <w:pPr>
              <w:spacing w:after="0" w:line="264"/>
            </w:pPr>
            <w:r>
              <w:rPr>
                <w:b w:val="false"/>
                <w:bCs w:val="false"/>
              </w:rPr>
              <w:t xml:space="preserve">Federated AAD credentials let pods reach Azure services without secrets</w:t>
            </w:r>
          </w:p>
        </w:tc>
      </w:tr>
      <w:tr>
        <w:tc>
          <w:tcPr>
            <w:tcW w:type="dxa" w:w="2400"/>
            <w:tcBorders>
              <w:top w:val="single" w:color="C9D6E5" w:sz="1"/>
              <w:left w:val="single" w:color="C9D6E5" w:sz="1"/>
              <w:bottom w:val="single" w:color="C9D6E5" w:sz="1"/>
              <w:right w:val="single" w:color="C9D6E5" w:sz="1"/>
            </w:tcBorders>
            <w:shd w:fill="F2F6FB" w:val="clear"/>
            <w:tcMar>
              <w:top w:type="dxa" w:w="80"/>
              <w:left w:type="dxa" w:w="120"/>
              <w:bottom w:type="dxa" w:w="80"/>
              <w:right w:type="dxa" w:w="120"/>
            </w:tcMar>
            <w:vAlign w:val="center"/>
          </w:tcPr>
          <w:p>
            <w:pPr>
              <w:spacing w:after="0" w:line="264"/>
            </w:pPr>
            <w:r>
              <w:rPr>
                <w:b w:val="false"/>
                <w:bCs w:val="false"/>
              </w:rPr>
              <w:t xml:space="preserve">Azure Key Vault</w:t>
            </w:r>
          </w:p>
        </w:tc>
        <w:tc>
          <w:tcPr>
            <w:tcW w:type="dxa" w:w="3480"/>
            <w:tcBorders>
              <w:top w:val="single" w:color="C9D6E5" w:sz="1"/>
              <w:left w:val="single" w:color="C9D6E5" w:sz="1"/>
              <w:bottom w:val="single" w:color="C9D6E5" w:sz="1"/>
              <w:right w:val="single" w:color="C9D6E5" w:sz="1"/>
            </w:tcBorders>
            <w:shd w:fill="F2F6FB" w:val="clear"/>
            <w:tcMar>
              <w:top w:type="dxa" w:w="80"/>
              <w:left w:type="dxa" w:w="120"/>
              <w:bottom w:type="dxa" w:w="80"/>
              <w:right w:type="dxa" w:w="120"/>
            </w:tcMar>
            <w:vAlign w:val="center"/>
          </w:tcPr>
          <w:p>
            <w:pPr>
              <w:spacing w:after="0" w:line="264"/>
            </w:pPr>
            <w:r>
              <w:rPr>
                <w:b w:val="false"/>
                <w:bCs w:val="false"/>
              </w:rPr>
              <w:t xml:space="preserve">Secret management</w:t>
            </w:r>
          </w:p>
        </w:tc>
        <w:tc>
          <w:tcPr>
            <w:tcW w:type="dxa" w:w="3480"/>
            <w:tcBorders>
              <w:top w:val="single" w:color="C9D6E5" w:sz="1"/>
              <w:left w:val="single" w:color="C9D6E5" w:sz="1"/>
              <w:bottom w:val="single" w:color="C9D6E5" w:sz="1"/>
              <w:right w:val="single" w:color="C9D6E5" w:sz="1"/>
            </w:tcBorders>
            <w:shd w:fill="F2F6FB" w:val="clear"/>
            <w:tcMar>
              <w:top w:type="dxa" w:w="80"/>
              <w:left w:type="dxa" w:w="120"/>
              <w:bottom w:type="dxa" w:w="80"/>
              <w:right w:type="dxa" w:w="120"/>
            </w:tcMar>
            <w:vAlign w:val="center"/>
          </w:tcPr>
          <w:p>
            <w:pPr>
              <w:spacing w:after="0" w:line="264"/>
            </w:pPr>
            <w:r>
              <w:rPr>
                <w:b w:val="false"/>
                <w:bCs w:val="false"/>
              </w:rPr>
              <w:t xml:space="preserve">Surfaced into pods via the Secrets Store CSI Driver</w:t>
            </w:r>
          </w:p>
        </w:tc>
      </w:tr>
      <w:tr>
        <w:tc>
          <w:tcPr>
            <w:tcW w:type="dxa" w:w="2400"/>
            <w:tcBorders>
              <w:top w:val="single" w:color="C9D6E5" w:sz="1"/>
              <w:left w:val="single" w:color="C9D6E5" w:sz="1"/>
              <w:bottom w:val="single" w:color="C9D6E5" w:sz="1"/>
              <w:right w:val="single" w:color="C9D6E5" w:sz="1"/>
            </w:tcBorders>
            <w:shd w:fill="FFFFFF" w:val="clear"/>
            <w:tcMar>
              <w:top w:type="dxa" w:w="80"/>
              <w:left w:type="dxa" w:w="120"/>
              <w:bottom w:type="dxa" w:w="80"/>
              <w:right w:type="dxa" w:w="120"/>
            </w:tcMar>
            <w:vAlign w:val="center"/>
          </w:tcPr>
          <w:p>
            <w:pPr>
              <w:spacing w:after="0" w:line="264"/>
            </w:pPr>
            <w:r>
              <w:rPr>
                <w:b w:val="false"/>
                <w:bCs w:val="false"/>
              </w:rPr>
              <w:t xml:space="preserve">Application Insights</w:t>
            </w:r>
          </w:p>
        </w:tc>
        <w:tc>
          <w:tcPr>
            <w:tcW w:type="dxa" w:w="3480"/>
            <w:tcBorders>
              <w:top w:val="single" w:color="C9D6E5" w:sz="1"/>
              <w:left w:val="single" w:color="C9D6E5" w:sz="1"/>
              <w:bottom w:val="single" w:color="C9D6E5" w:sz="1"/>
              <w:right w:val="single" w:color="C9D6E5" w:sz="1"/>
            </w:tcBorders>
            <w:shd w:fill="FFFFFF" w:val="clear"/>
            <w:tcMar>
              <w:top w:type="dxa" w:w="80"/>
              <w:left w:type="dxa" w:w="120"/>
              <w:bottom w:type="dxa" w:w="80"/>
              <w:right w:type="dxa" w:w="120"/>
            </w:tcMar>
            <w:vAlign w:val="center"/>
          </w:tcPr>
          <w:p>
            <w:pPr>
              <w:spacing w:after="0" w:line="264"/>
            </w:pPr>
            <w:r>
              <w:rPr>
                <w:b w:val="false"/>
                <w:bCs w:val="false"/>
              </w:rPr>
              <w:t xml:space="preserve">Operational telemetry &amp; tracing</w:t>
            </w:r>
          </w:p>
        </w:tc>
        <w:tc>
          <w:tcPr>
            <w:tcW w:type="dxa" w:w="3480"/>
            <w:tcBorders>
              <w:top w:val="single" w:color="C9D6E5" w:sz="1"/>
              <w:left w:val="single" w:color="C9D6E5" w:sz="1"/>
              <w:bottom w:val="single" w:color="C9D6E5" w:sz="1"/>
              <w:right w:val="single" w:color="C9D6E5" w:sz="1"/>
            </w:tcBorders>
            <w:shd w:fill="FFFFFF" w:val="clear"/>
            <w:tcMar>
              <w:top w:type="dxa" w:w="80"/>
              <w:left w:type="dxa" w:w="120"/>
              <w:bottom w:type="dxa" w:w="80"/>
              <w:right w:type="dxa" w:w="120"/>
            </w:tcMar>
            <w:vAlign w:val="center"/>
          </w:tcPr>
          <w:p>
            <w:pPr>
              <w:spacing w:after="0" w:line="264"/>
            </w:pPr>
            <w:r>
              <w:rPr>
                <w:b w:val="false"/>
                <w:bCs w:val="false"/>
              </w:rPr>
              <w:t xml:space="preserve">Receives OpenTelemetry spans; powers latency and error dashboards</w:t>
            </w:r>
          </w:p>
        </w:tc>
      </w:tr>
      <w:tr>
        <w:tc>
          <w:tcPr>
            <w:tcW w:type="dxa" w:w="2400"/>
            <w:tcBorders>
              <w:top w:val="single" w:color="C9D6E5" w:sz="1"/>
              <w:left w:val="single" w:color="C9D6E5" w:sz="1"/>
              <w:bottom w:val="single" w:color="C9D6E5" w:sz="1"/>
              <w:right w:val="single" w:color="C9D6E5" w:sz="1"/>
            </w:tcBorders>
            <w:shd w:fill="F2F6FB" w:val="clear"/>
            <w:tcMar>
              <w:top w:type="dxa" w:w="80"/>
              <w:left w:type="dxa" w:w="120"/>
              <w:bottom w:type="dxa" w:w="80"/>
              <w:right w:type="dxa" w:w="120"/>
            </w:tcMar>
            <w:vAlign w:val="center"/>
          </w:tcPr>
          <w:p>
            <w:pPr>
              <w:spacing w:after="0" w:line="264"/>
            </w:pPr>
            <w:r>
              <w:rPr>
                <w:b w:val="false"/>
                <w:bCs w:val="false"/>
              </w:rPr>
              <w:t xml:space="preserve">Managed Prometheus / Log Analytics</w:t>
            </w:r>
          </w:p>
        </w:tc>
        <w:tc>
          <w:tcPr>
            <w:tcW w:type="dxa" w:w="3480"/>
            <w:tcBorders>
              <w:top w:val="single" w:color="C9D6E5" w:sz="1"/>
              <w:left w:val="single" w:color="C9D6E5" w:sz="1"/>
              <w:bottom w:val="single" w:color="C9D6E5" w:sz="1"/>
              <w:right w:val="single" w:color="C9D6E5" w:sz="1"/>
            </w:tcBorders>
            <w:shd w:fill="F2F6FB" w:val="clear"/>
            <w:tcMar>
              <w:top w:type="dxa" w:w="80"/>
              <w:left w:type="dxa" w:w="120"/>
              <w:bottom w:type="dxa" w:w="80"/>
              <w:right w:type="dxa" w:w="120"/>
            </w:tcMar>
            <w:vAlign w:val="center"/>
          </w:tcPr>
          <w:p>
            <w:pPr>
              <w:spacing w:after="0" w:line="264"/>
            </w:pPr>
            <w:r>
              <w:rPr>
                <w:b w:val="false"/>
                <w:bCs w:val="false"/>
              </w:rPr>
              <w:t xml:space="preserve">Metrics &amp; logs</w:t>
            </w:r>
          </w:p>
        </w:tc>
        <w:tc>
          <w:tcPr>
            <w:tcW w:type="dxa" w:w="3480"/>
            <w:tcBorders>
              <w:top w:val="single" w:color="C9D6E5" w:sz="1"/>
              <w:left w:val="single" w:color="C9D6E5" w:sz="1"/>
              <w:bottom w:val="single" w:color="C9D6E5" w:sz="1"/>
              <w:right w:val="single" w:color="C9D6E5" w:sz="1"/>
            </w:tcBorders>
            <w:shd w:fill="F2F6FB" w:val="clear"/>
            <w:tcMar>
              <w:top w:type="dxa" w:w="80"/>
              <w:left w:type="dxa" w:w="120"/>
              <w:bottom w:type="dxa" w:w="80"/>
              <w:right w:type="dxa" w:w="120"/>
            </w:tcMar>
            <w:vAlign w:val="center"/>
          </w:tcPr>
          <w:p>
            <w:pPr>
              <w:spacing w:after="0" w:line="264"/>
            </w:pPr>
            <w:r>
              <w:rPr>
                <w:b w:val="false"/>
                <w:bCs w:val="false"/>
              </w:rPr>
              <w:t xml:space="preserve">Prometheus for time-series metrics; Log Analytics for queryable logs</w:t>
            </w:r>
          </w:p>
        </w:tc>
      </w:tr>
      <w:tr>
        <w:tc>
          <w:tcPr>
            <w:tcW w:type="dxa" w:w="2400"/>
            <w:tcBorders>
              <w:top w:val="single" w:color="C9D6E5" w:sz="1"/>
              <w:left w:val="single" w:color="C9D6E5" w:sz="1"/>
              <w:bottom w:val="single" w:color="C9D6E5" w:sz="1"/>
              <w:right w:val="single" w:color="C9D6E5" w:sz="1"/>
            </w:tcBorders>
            <w:shd w:fill="FFFFFF" w:val="clear"/>
            <w:tcMar>
              <w:top w:type="dxa" w:w="80"/>
              <w:left w:type="dxa" w:w="120"/>
              <w:bottom w:type="dxa" w:w="80"/>
              <w:right w:type="dxa" w:w="120"/>
            </w:tcMar>
            <w:vAlign w:val="center"/>
          </w:tcPr>
          <w:p>
            <w:pPr>
              <w:spacing w:after="0" w:line="264"/>
            </w:pPr>
            <w:r>
              <w:rPr>
                <w:b w:val="false"/>
                <w:bCs w:val="false"/>
              </w:rPr>
              <w:t xml:space="preserve">Azure AI Foundry / AI Evaluation SDK</w:t>
            </w:r>
          </w:p>
        </w:tc>
        <w:tc>
          <w:tcPr>
            <w:tcW w:type="dxa" w:w="3480"/>
            <w:tcBorders>
              <w:top w:val="single" w:color="C9D6E5" w:sz="1"/>
              <w:left w:val="single" w:color="C9D6E5" w:sz="1"/>
              <w:bottom w:val="single" w:color="C9D6E5" w:sz="1"/>
              <w:right w:val="single" w:color="C9D6E5" w:sz="1"/>
            </w:tcBorders>
            <w:shd w:fill="FFFFFF" w:val="clear"/>
            <w:tcMar>
              <w:top w:type="dxa" w:w="80"/>
              <w:left w:type="dxa" w:w="120"/>
              <w:bottom w:type="dxa" w:w="80"/>
              <w:right w:type="dxa" w:w="120"/>
            </w:tcMar>
            <w:vAlign w:val="center"/>
          </w:tcPr>
          <w:p>
            <w:pPr>
              <w:spacing w:after="0" w:line="264"/>
            </w:pPr>
            <w:r>
              <w:rPr>
                <w:b w:val="false"/>
                <w:bCs w:val="false"/>
              </w:rPr>
              <w:t xml:space="preserve">Native, governable evaluation</w:t>
            </w:r>
          </w:p>
        </w:tc>
        <w:tc>
          <w:tcPr>
            <w:tcW w:type="dxa" w:w="3480"/>
            <w:tcBorders>
              <w:top w:val="single" w:color="C9D6E5" w:sz="1"/>
              <w:left w:val="single" w:color="C9D6E5" w:sz="1"/>
              <w:bottom w:val="single" w:color="C9D6E5" w:sz="1"/>
              <w:right w:val="single" w:color="C9D6E5" w:sz="1"/>
            </w:tcBorders>
            <w:shd w:fill="FFFFFF" w:val="clear"/>
            <w:tcMar>
              <w:top w:type="dxa" w:w="80"/>
              <w:left w:type="dxa" w:w="120"/>
              <w:bottom w:type="dxa" w:w="80"/>
              <w:right w:type="dxa" w:w="120"/>
            </w:tcMar>
            <w:vAlign w:val="center"/>
          </w:tcPr>
          <w:p>
            <w:pPr>
              <w:spacing w:after="0" w:line="264"/>
            </w:pPr>
            <w:r>
              <w:rPr>
                <w:b w:val="false"/>
                <w:bCs w:val="false"/>
              </w:rPr>
              <w:t xml:space="preserve">Built-in evaluators (groundedness, relevance, coherence) that produce auditable eval runs in-stack</w:t>
            </w:r>
          </w:p>
        </w:tc>
      </w:tr>
    </w:tbl>
    <w:tbl>
      <w:tblPr>
        <w:tblW w:type="dxa" w:w="9360"/>
        <w:tblBorders>
          <w:top w:val="single" w:color="EAF1F8" w:sz="1"/>
          <w:left w:val="single" w:color="2E75B6" w:sz="24"/>
          <w:bottom w:val="single" w:color="EAF1F8" w:sz="1"/>
          <w:right w:val="single" w:color="EAF1F8" w:sz="1"/>
          <w:insideH w:val="single" w:color="auto" w:sz="4"/>
          <w:insideV w:val="single" w:color="auto" w:sz="4"/>
        </w:tblBorders>
      </w:tblPr>
      <w:tblGrid>
        <w:gridCol w:w="9360"/>
      </w:tblGrid>
      <w:tr>
        <w:tc>
          <w:tcPr>
            <w:tcW w:type="dxa" w:w="9360"/>
            <w:shd w:fill="EAF1F8" w:val="clear"/>
            <w:tcMar>
              <w:top w:type="dxa" w:w="120"/>
              <w:left w:type="dxa" w:w="200"/>
              <w:bottom w:type="dxa" w:w="120"/>
              <w:right w:type="dxa" w:w="200"/>
            </w:tcMar>
          </w:tcPr>
          <w:p>
            <w:pPr>
              <w:spacing w:after="60"/>
            </w:pPr>
            <w:r>
              <w:rPr>
                <w:b/>
                <w:bCs/>
                <w:color w:val="1F3864"/>
              </w:rPr>
              <w:t xml:space="preserve">The ingestion pipeline in one line</w:t>
            </w:r>
          </w:p>
          <w:p>
            <w:r>
              <w:t xml:space="preserve">Blob Storage → Event Grid → Event Hub → Data Factory → Databricks → Embeddings → Azure AI Search. Event Grid signals arrival, Event Hub absorbs the burst and enables replay, Data Factory orchestrates, Databricks does the heavy transform and embedding, and AI Search holds the vectors.</w:t>
            </w:r>
          </w:p>
        </w:tc>
      </w:tr>
    </w:tbl>
    <w:p>
      <w:r>
        <w:br w:type="page"/>
      </w:r>
    </w:p>
    <w:p>
      <w:pPr>
        <w:pStyle w:val="Heading1"/>
      </w:pPr>
      <w:r>
        <w:t xml:space="preserve">8. Pain Points by Layer &amp; Mitigations</w:t>
      </w:r>
    </w:p>
    <w:p>
      <w:pPr>
        <w:spacing w:after="160" w:line="276"/>
      </w:pPr>
      <w:r>
        <w:rPr>
          <w:b w:val="false"/>
          <w:bCs w:val="false"/>
          <w:i w:val="false"/>
          <w:iCs w:val="false"/>
        </w:rPr>
        <w:t xml:space="preserve">The inevitable senior follow-up to any architecture pitch is “where does this break in production?” Below are two pain points per architectural layer — twelve in total — each tagged by its primary concern.</w:t>
      </w:r>
    </w:p>
    <w:p>
      <w:pPr>
        <w:spacing w:after="160" w:line="276"/>
      </w:pPr>
      <w:r>
        <w:rPr>
          <w:b/>
          <w:bCs/>
          <w:i w:val="false"/>
          <w:iCs w:val="false"/>
        </w:rPr>
        <w:t xml:space="preserve">Legend:  </w:t>
      </w:r>
      <w:r>
        <w:rPr>
          <w:b/>
          <w:bCs/>
          <w:i w:val="false"/>
          <w:iCs w:val="false"/>
          <w:color w:val="2E75B6"/>
        </w:rPr>
        <w:t xml:space="preserve">integration</w:t>
      </w:r>
      <w:r>
        <w:t xml:space="preserve">   ·   </w:t>
      </w:r>
      <w:r>
        <w:rPr>
          <w:b/>
          <w:bCs/>
          <w:i w:val="false"/>
          <w:iCs w:val="false"/>
          <w:color w:val="B45309"/>
        </w:rPr>
        <w:t xml:space="preserve">latency</w:t>
      </w:r>
      <w:r>
        <w:t xml:space="preserve">   ·   </w:t>
      </w:r>
      <w:r>
        <w:rPr>
          <w:b/>
          <w:bCs/>
          <w:i w:val="false"/>
          <w:iCs w:val="false"/>
          <w:color w:val="B91C1C"/>
        </w:rPr>
        <w:t xml:space="preserve">operational hallucination</w:t>
      </w:r>
    </w:p>
    <w:p>
      <w:pPr>
        <w:pStyle w:val="Heading2"/>
      </w:pPr>
      <w:r>
        <w:t xml:space="preserve">Layer 1 — Ingress chain (Front Door → APIM → AKS ingress)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20"/>
        <w:gridCol w:w="1960"/>
        <w:gridCol w:w="3140"/>
        <w:gridCol w:w="3140"/>
      </w:tblGrid>
      <w:tr>
        <w:trPr>
          <w:tblHeader/>
        </w:trPr>
        <w:tc>
          <w:tcPr>
            <w:tcW w:type="dxa" w:w="1120"/>
            <w:tcBorders>
              <w:top w:val="single" w:color="C9D6E5" w:sz="1"/>
              <w:left w:val="single" w:color="C9D6E5" w:sz="1"/>
              <w:bottom w:val="single" w:color="C9D6E5" w:sz="1"/>
              <w:right w:val="single" w:color="C9D6E5" w:sz="1"/>
            </w:tcBorders>
            <w:shd w:fill="1F3864" w:val="clear"/>
            <w:tcMar>
              <w:top w:type="dxa" w:w="80"/>
              <w:left w:type="dxa" w:w="120"/>
              <w:bottom w:type="dxa" w:w="80"/>
              <w:right w:type="dxa" w:w="120"/>
            </w:tcMar>
            <w:vAlign w:val="center"/>
          </w:tcPr>
          <w:p>
            <w:pPr>
              <w:spacing w:after="0" w:line="264"/>
            </w:pPr>
            <w:r>
              <w:rPr>
                <w:b/>
                <w:bCs/>
                <w:color w:val="FFFFFF"/>
              </w:rPr>
              <w:t xml:space="preserve">Theme</w:t>
            </w:r>
          </w:p>
        </w:tc>
        <w:tc>
          <w:tcPr>
            <w:tcW w:type="dxa" w:w="1960"/>
            <w:tcBorders>
              <w:top w:val="single" w:color="C9D6E5" w:sz="1"/>
              <w:left w:val="single" w:color="C9D6E5" w:sz="1"/>
              <w:bottom w:val="single" w:color="C9D6E5" w:sz="1"/>
              <w:right w:val="single" w:color="C9D6E5" w:sz="1"/>
            </w:tcBorders>
            <w:shd w:fill="1F3864" w:val="clear"/>
            <w:tcMar>
              <w:top w:type="dxa" w:w="80"/>
              <w:left w:type="dxa" w:w="120"/>
              <w:bottom w:type="dxa" w:w="80"/>
              <w:right w:type="dxa" w:w="120"/>
            </w:tcMar>
            <w:vAlign w:val="center"/>
          </w:tcPr>
          <w:p>
            <w:pPr>
              <w:spacing w:after="0" w:line="264"/>
            </w:pPr>
            <w:r>
              <w:rPr>
                <w:b/>
                <w:bCs/>
                <w:color w:val="FFFFFF"/>
              </w:rPr>
              <w:t xml:space="preserve">Pain point</w:t>
            </w:r>
          </w:p>
        </w:tc>
        <w:tc>
          <w:tcPr>
            <w:tcW w:type="dxa" w:w="3140"/>
            <w:tcBorders>
              <w:top w:val="single" w:color="C9D6E5" w:sz="1"/>
              <w:left w:val="single" w:color="C9D6E5" w:sz="1"/>
              <w:bottom w:val="single" w:color="C9D6E5" w:sz="1"/>
              <w:right w:val="single" w:color="C9D6E5" w:sz="1"/>
            </w:tcBorders>
            <w:shd w:fill="1F3864" w:val="clear"/>
            <w:tcMar>
              <w:top w:type="dxa" w:w="80"/>
              <w:left w:type="dxa" w:w="120"/>
              <w:bottom w:type="dxa" w:w="80"/>
              <w:right w:type="dxa" w:w="120"/>
            </w:tcMar>
            <w:vAlign w:val="center"/>
          </w:tcPr>
          <w:p>
            <w:pPr>
              <w:spacing w:after="0" w:line="264"/>
            </w:pPr>
            <w:r>
              <w:rPr>
                <w:b/>
                <w:bCs/>
                <w:color w:val="FFFFFF"/>
              </w:rPr>
              <w:t xml:space="preserve">Problem</w:t>
            </w:r>
          </w:p>
        </w:tc>
        <w:tc>
          <w:tcPr>
            <w:tcW w:type="dxa" w:w="3140"/>
            <w:tcBorders>
              <w:top w:val="single" w:color="C9D6E5" w:sz="1"/>
              <w:left w:val="single" w:color="C9D6E5" w:sz="1"/>
              <w:bottom w:val="single" w:color="C9D6E5" w:sz="1"/>
              <w:right w:val="single" w:color="C9D6E5" w:sz="1"/>
            </w:tcBorders>
            <w:shd w:fill="1F3864" w:val="clear"/>
            <w:tcMar>
              <w:top w:type="dxa" w:w="80"/>
              <w:left w:type="dxa" w:w="120"/>
              <w:bottom w:type="dxa" w:w="80"/>
              <w:right w:type="dxa" w:w="120"/>
            </w:tcMar>
            <w:vAlign w:val="center"/>
          </w:tcPr>
          <w:p>
            <w:pPr>
              <w:spacing w:after="0" w:line="264"/>
            </w:pPr>
            <w:r>
              <w:rPr>
                <w:b/>
                <w:bCs/>
                <w:color w:val="FFFFFF"/>
              </w:rPr>
              <w:t xml:space="preserve">Mitigation</w:t>
            </w:r>
          </w:p>
        </w:tc>
      </w:tr>
      <w:tr>
        <w:tc>
          <w:tcPr>
            <w:tcW w:type="dxa" w:w="1120"/>
            <w:tcBorders>
              <w:top w:val="single" w:color="C9D6E5" w:sz="1"/>
              <w:left w:val="single" w:color="C9D6E5" w:sz="1"/>
              <w:bottom w:val="single" w:color="C9D6E5" w:sz="1"/>
              <w:right w:val="single" w:color="C9D6E5" w:sz="1"/>
            </w:tcBorders>
            <w:shd w:fill="FFFFFF" w:val="clear"/>
            <w:tcMar>
              <w:top w:type="dxa" w:w="80"/>
              <w:left w:type="dxa" w:w="110"/>
              <w:bottom w:type="dxa" w:w="80"/>
              <w:right w:type="dxa" w:w="110"/>
            </w:tcMar>
            <w:vAlign w:val="top"/>
          </w:tcPr>
          <w:p>
            <w:pPr>
              <w:spacing w:after="0" w:line="258"/>
            </w:pPr>
            <w:r>
              <w:rPr>
                <w:b/>
                <w:bCs/>
                <w:color w:val="2E75B6"/>
                <w:sz w:val="19"/>
                <w:szCs w:val="19"/>
              </w:rPr>
              <w:t xml:space="preserve">integration</w:t>
            </w:r>
          </w:p>
        </w:tc>
        <w:tc>
          <w:tcPr>
            <w:tcW w:type="dxa" w:w="1960"/>
            <w:tcBorders>
              <w:top w:val="single" w:color="C9D6E5" w:sz="1"/>
              <w:left w:val="single" w:color="C9D6E5" w:sz="1"/>
              <w:bottom w:val="single" w:color="C9D6E5" w:sz="1"/>
              <w:right w:val="single" w:color="C9D6E5" w:sz="1"/>
            </w:tcBorders>
            <w:shd w:fill="FFFFFF" w:val="clear"/>
            <w:tcMar>
              <w:top w:type="dxa" w:w="80"/>
              <w:left w:type="dxa" w:w="110"/>
              <w:bottom w:type="dxa" w:w="80"/>
              <w:right w:type="dxa" w:w="110"/>
            </w:tcMar>
            <w:vAlign w:val="top"/>
          </w:tcPr>
          <w:p>
            <w:pPr>
              <w:spacing w:after="0" w:line="258"/>
            </w:pPr>
            <w:r>
              <w:rPr>
                <w:b/>
                <w:bCs/>
                <w:sz w:val="20"/>
                <w:szCs w:val="20"/>
              </w:rPr>
              <w:t xml:space="preserve">Noisy-neighbor throttling at APIM</w:t>
            </w:r>
          </w:p>
        </w:tc>
        <w:tc>
          <w:tcPr>
            <w:tcW w:type="dxa" w:w="3140"/>
            <w:tcBorders>
              <w:top w:val="single" w:color="C9D6E5" w:sz="1"/>
              <w:left w:val="single" w:color="C9D6E5" w:sz="1"/>
              <w:bottom w:val="single" w:color="C9D6E5" w:sz="1"/>
              <w:right w:val="single" w:color="C9D6E5" w:sz="1"/>
            </w:tcBorders>
            <w:shd w:fill="FFFFFF" w:val="clear"/>
            <w:tcMar>
              <w:top w:type="dxa" w:w="80"/>
              <w:left w:type="dxa" w:w="110"/>
              <w:bottom w:type="dxa" w:w="80"/>
              <w:right w:type="dxa" w:w="110"/>
            </w:tcMar>
            <w:vAlign w:val="top"/>
          </w:tcPr>
          <w:p>
            <w:pPr>
              <w:spacing w:after="0" w:line="258"/>
            </w:pPr>
            <w:r>
              <w:rPr>
                <w:sz w:val="20"/>
                <w:szCs w:val="20"/>
              </w:rPr>
              <w:t xml:space="preserve">Bulk indexing jobs and interactive scientist queries share APIM’s rate-limit pool; a 50K-doc evening ingest can starve interactive queries with 429s while users watch.</w:t>
            </w:r>
          </w:p>
        </w:tc>
        <w:tc>
          <w:tcPr>
            <w:tcW w:type="dxa" w:w="3140"/>
            <w:tcBorders>
              <w:top w:val="single" w:color="C9D6E5" w:sz="1"/>
              <w:left w:val="single" w:color="C9D6E5" w:sz="1"/>
              <w:bottom w:val="single" w:color="C9D6E5" w:sz="1"/>
              <w:right w:val="single" w:color="C9D6E5" w:sz="1"/>
            </w:tcBorders>
            <w:shd w:fill="FFFFFF" w:val="clear"/>
            <w:tcMar>
              <w:top w:type="dxa" w:w="80"/>
              <w:left w:type="dxa" w:w="110"/>
              <w:bottom w:type="dxa" w:w="80"/>
              <w:right w:type="dxa" w:w="110"/>
            </w:tcMar>
            <w:vAlign w:val="top"/>
          </w:tcPr>
          <w:p>
            <w:pPr>
              <w:spacing w:after="0" w:line="258"/>
            </w:pPr>
            <w:r>
              <w:rPr>
                <w:sz w:val="20"/>
                <w:szCs w:val="20"/>
              </w:rPr>
              <w:t xml:space="preserve">Separate APIM products for interactive vs batch, JWT-claim routed; per-subscription burst + sustained quotas; orchestrator defers batch work when interactive demand spikes.</w:t>
            </w:r>
          </w:p>
        </w:tc>
      </w:tr>
      <w:tr>
        <w:tc>
          <w:tcPr>
            <w:tcW w:type="dxa" w:w="1120"/>
            <w:tcBorders>
              <w:top w:val="single" w:color="C9D6E5" w:sz="1"/>
              <w:left w:val="single" w:color="C9D6E5" w:sz="1"/>
              <w:bottom w:val="single" w:color="C9D6E5" w:sz="1"/>
              <w:right w:val="single" w:color="C9D6E5" w:sz="1"/>
            </w:tcBorders>
            <w:shd w:fill="F2F6FB" w:val="clear"/>
            <w:tcMar>
              <w:top w:type="dxa" w:w="80"/>
              <w:left w:type="dxa" w:w="110"/>
              <w:bottom w:type="dxa" w:w="80"/>
              <w:right w:type="dxa" w:w="110"/>
            </w:tcMar>
            <w:vAlign w:val="top"/>
          </w:tcPr>
          <w:p>
            <w:pPr>
              <w:spacing w:after="0" w:line="258"/>
            </w:pPr>
            <w:r>
              <w:rPr>
                <w:b/>
                <w:bCs/>
                <w:color w:val="B45309"/>
                <w:sz w:val="19"/>
                <w:szCs w:val="19"/>
              </w:rPr>
              <w:t xml:space="preserve">latency</w:t>
            </w:r>
          </w:p>
        </w:tc>
        <w:tc>
          <w:tcPr>
            <w:tcW w:type="dxa" w:w="1960"/>
            <w:tcBorders>
              <w:top w:val="single" w:color="C9D6E5" w:sz="1"/>
              <w:left w:val="single" w:color="C9D6E5" w:sz="1"/>
              <w:bottom w:val="single" w:color="C9D6E5" w:sz="1"/>
              <w:right w:val="single" w:color="C9D6E5" w:sz="1"/>
            </w:tcBorders>
            <w:shd w:fill="F2F6FB" w:val="clear"/>
            <w:tcMar>
              <w:top w:type="dxa" w:w="80"/>
              <w:left w:type="dxa" w:w="110"/>
              <w:bottom w:type="dxa" w:w="80"/>
              <w:right w:type="dxa" w:w="110"/>
            </w:tcMar>
            <w:vAlign w:val="top"/>
          </w:tcPr>
          <w:p>
            <w:pPr>
              <w:spacing w:after="0" w:line="258"/>
            </w:pPr>
            <w:r>
              <w:rPr>
                <w:b/>
                <w:bCs/>
                <w:sz w:val="20"/>
                <w:szCs w:val="20"/>
              </w:rPr>
              <w:t xml:space="preserve">Cold-start on AKS pod scale-up</w:t>
            </w:r>
          </w:p>
        </w:tc>
        <w:tc>
          <w:tcPr>
            <w:tcW w:type="dxa" w:w="3140"/>
            <w:tcBorders>
              <w:top w:val="single" w:color="C9D6E5" w:sz="1"/>
              <w:left w:val="single" w:color="C9D6E5" w:sz="1"/>
              <w:bottom w:val="single" w:color="C9D6E5" w:sz="1"/>
              <w:right w:val="single" w:color="C9D6E5" w:sz="1"/>
            </w:tcBorders>
            <w:shd w:fill="F2F6FB" w:val="clear"/>
            <w:tcMar>
              <w:top w:type="dxa" w:w="80"/>
              <w:left w:type="dxa" w:w="110"/>
              <w:bottom w:type="dxa" w:w="80"/>
              <w:right w:type="dxa" w:w="110"/>
            </w:tcMar>
            <w:vAlign w:val="top"/>
          </w:tcPr>
          <w:p>
            <w:pPr>
              <w:spacing w:after="0" w:line="258"/>
            </w:pPr>
            <w:r>
              <w:rPr>
                <w:sz w:val="20"/>
                <w:szCs w:val="20"/>
              </w:rPr>
              <w:t xml:space="preserve">HPA scales agent pods 2→5 during a burst; new pods take 30–90s to ready (image pull, client init, first OpenAI call), so a user on a cold pod sees 5–10s instead of 900ms.</w:t>
            </w:r>
          </w:p>
        </w:tc>
        <w:tc>
          <w:tcPr>
            <w:tcW w:type="dxa" w:w="3140"/>
            <w:tcBorders>
              <w:top w:val="single" w:color="C9D6E5" w:sz="1"/>
              <w:left w:val="single" w:color="C9D6E5" w:sz="1"/>
              <w:bottom w:val="single" w:color="C9D6E5" w:sz="1"/>
              <w:right w:val="single" w:color="C9D6E5" w:sz="1"/>
            </w:tcBorders>
            <w:shd w:fill="F2F6FB" w:val="clear"/>
            <w:tcMar>
              <w:top w:type="dxa" w:w="80"/>
              <w:left w:type="dxa" w:w="110"/>
              <w:bottom w:type="dxa" w:w="80"/>
              <w:right w:type="dxa" w:w="110"/>
            </w:tcMar>
            <w:vAlign w:val="top"/>
          </w:tcPr>
          <w:p>
            <w:pPr>
              <w:spacing w:after="0" w:line="258"/>
            </w:pPr>
            <w:r>
              <w:rPr>
                <w:sz w:val="20"/>
                <w:szCs w:val="20"/>
              </w:rPr>
              <w:t xml:space="preserve">KEDA scales on Service Bus queue depth (predictive, not reactive); pre-pull images via DaemonSet; startup probes hit a warmup endpoint that primes the OpenAI client.</w:t>
            </w:r>
          </w:p>
        </w:tc>
      </w:tr>
    </w:tbl>
    <w:p>
      <w:pPr>
        <w:pStyle w:val="Heading2"/>
      </w:pPr>
      <w:r>
        <w:t xml:space="preserve">Layer 2 — Orchestrator &amp; agents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20"/>
        <w:gridCol w:w="1960"/>
        <w:gridCol w:w="3140"/>
        <w:gridCol w:w="3140"/>
      </w:tblGrid>
      <w:tr>
        <w:trPr>
          <w:tblHeader/>
        </w:trPr>
        <w:tc>
          <w:tcPr>
            <w:tcW w:type="dxa" w:w="1120"/>
            <w:tcBorders>
              <w:top w:val="single" w:color="C9D6E5" w:sz="1"/>
              <w:left w:val="single" w:color="C9D6E5" w:sz="1"/>
              <w:bottom w:val="single" w:color="C9D6E5" w:sz="1"/>
              <w:right w:val="single" w:color="C9D6E5" w:sz="1"/>
            </w:tcBorders>
            <w:shd w:fill="1F3864" w:val="clear"/>
            <w:tcMar>
              <w:top w:type="dxa" w:w="80"/>
              <w:left w:type="dxa" w:w="120"/>
              <w:bottom w:type="dxa" w:w="80"/>
              <w:right w:type="dxa" w:w="120"/>
            </w:tcMar>
            <w:vAlign w:val="center"/>
          </w:tcPr>
          <w:p>
            <w:pPr>
              <w:spacing w:after="0" w:line="264"/>
            </w:pPr>
            <w:r>
              <w:rPr>
                <w:b/>
                <w:bCs/>
                <w:color w:val="FFFFFF"/>
              </w:rPr>
              <w:t xml:space="preserve">Theme</w:t>
            </w:r>
          </w:p>
        </w:tc>
        <w:tc>
          <w:tcPr>
            <w:tcW w:type="dxa" w:w="1960"/>
            <w:tcBorders>
              <w:top w:val="single" w:color="C9D6E5" w:sz="1"/>
              <w:left w:val="single" w:color="C9D6E5" w:sz="1"/>
              <w:bottom w:val="single" w:color="C9D6E5" w:sz="1"/>
              <w:right w:val="single" w:color="C9D6E5" w:sz="1"/>
            </w:tcBorders>
            <w:shd w:fill="1F3864" w:val="clear"/>
            <w:tcMar>
              <w:top w:type="dxa" w:w="80"/>
              <w:left w:type="dxa" w:w="120"/>
              <w:bottom w:type="dxa" w:w="80"/>
              <w:right w:type="dxa" w:w="120"/>
            </w:tcMar>
            <w:vAlign w:val="center"/>
          </w:tcPr>
          <w:p>
            <w:pPr>
              <w:spacing w:after="0" w:line="264"/>
            </w:pPr>
            <w:r>
              <w:rPr>
                <w:b/>
                <w:bCs/>
                <w:color w:val="FFFFFF"/>
              </w:rPr>
              <w:t xml:space="preserve">Pain point</w:t>
            </w:r>
          </w:p>
        </w:tc>
        <w:tc>
          <w:tcPr>
            <w:tcW w:type="dxa" w:w="3140"/>
            <w:tcBorders>
              <w:top w:val="single" w:color="C9D6E5" w:sz="1"/>
              <w:left w:val="single" w:color="C9D6E5" w:sz="1"/>
              <w:bottom w:val="single" w:color="C9D6E5" w:sz="1"/>
              <w:right w:val="single" w:color="C9D6E5" w:sz="1"/>
            </w:tcBorders>
            <w:shd w:fill="1F3864" w:val="clear"/>
            <w:tcMar>
              <w:top w:type="dxa" w:w="80"/>
              <w:left w:type="dxa" w:w="120"/>
              <w:bottom w:type="dxa" w:w="80"/>
              <w:right w:type="dxa" w:w="120"/>
            </w:tcMar>
            <w:vAlign w:val="center"/>
          </w:tcPr>
          <w:p>
            <w:pPr>
              <w:spacing w:after="0" w:line="264"/>
            </w:pPr>
            <w:r>
              <w:rPr>
                <w:b/>
                <w:bCs/>
                <w:color w:val="FFFFFF"/>
              </w:rPr>
              <w:t xml:space="preserve">Problem</w:t>
            </w:r>
          </w:p>
        </w:tc>
        <w:tc>
          <w:tcPr>
            <w:tcW w:type="dxa" w:w="3140"/>
            <w:tcBorders>
              <w:top w:val="single" w:color="C9D6E5" w:sz="1"/>
              <w:left w:val="single" w:color="C9D6E5" w:sz="1"/>
              <w:bottom w:val="single" w:color="C9D6E5" w:sz="1"/>
              <w:right w:val="single" w:color="C9D6E5" w:sz="1"/>
            </w:tcBorders>
            <w:shd w:fill="1F3864" w:val="clear"/>
            <w:tcMar>
              <w:top w:type="dxa" w:w="80"/>
              <w:left w:type="dxa" w:w="120"/>
              <w:bottom w:type="dxa" w:w="80"/>
              <w:right w:type="dxa" w:w="120"/>
            </w:tcMar>
            <w:vAlign w:val="center"/>
          </w:tcPr>
          <w:p>
            <w:pPr>
              <w:spacing w:after="0" w:line="264"/>
            </w:pPr>
            <w:r>
              <w:rPr>
                <w:b/>
                <w:bCs/>
                <w:color w:val="FFFFFF"/>
              </w:rPr>
              <w:t xml:space="preserve">Mitigation</w:t>
            </w:r>
          </w:p>
        </w:tc>
      </w:tr>
      <w:tr>
        <w:tc>
          <w:tcPr>
            <w:tcW w:type="dxa" w:w="1120"/>
            <w:tcBorders>
              <w:top w:val="single" w:color="C9D6E5" w:sz="1"/>
              <w:left w:val="single" w:color="C9D6E5" w:sz="1"/>
              <w:bottom w:val="single" w:color="C9D6E5" w:sz="1"/>
              <w:right w:val="single" w:color="C9D6E5" w:sz="1"/>
            </w:tcBorders>
            <w:shd w:fill="FFFFFF" w:val="clear"/>
            <w:tcMar>
              <w:top w:type="dxa" w:w="80"/>
              <w:left w:type="dxa" w:w="110"/>
              <w:bottom w:type="dxa" w:w="80"/>
              <w:right w:type="dxa" w:w="110"/>
            </w:tcMar>
            <w:vAlign w:val="top"/>
          </w:tcPr>
          <w:p>
            <w:pPr>
              <w:spacing w:after="0" w:line="258"/>
            </w:pPr>
            <w:r>
              <w:rPr>
                <w:b/>
                <w:bCs/>
                <w:color w:val="B45309"/>
                <w:sz w:val="19"/>
                <w:szCs w:val="19"/>
              </w:rPr>
              <w:t xml:space="preserve">latency</w:t>
            </w:r>
          </w:p>
        </w:tc>
        <w:tc>
          <w:tcPr>
            <w:tcW w:type="dxa" w:w="1960"/>
            <w:tcBorders>
              <w:top w:val="single" w:color="C9D6E5" w:sz="1"/>
              <w:left w:val="single" w:color="C9D6E5" w:sz="1"/>
              <w:bottom w:val="single" w:color="C9D6E5" w:sz="1"/>
              <w:right w:val="single" w:color="C9D6E5" w:sz="1"/>
            </w:tcBorders>
            <w:shd w:fill="FFFFFF" w:val="clear"/>
            <w:tcMar>
              <w:top w:type="dxa" w:w="80"/>
              <w:left w:type="dxa" w:w="110"/>
              <w:bottom w:type="dxa" w:w="80"/>
              <w:right w:type="dxa" w:w="110"/>
            </w:tcMar>
            <w:vAlign w:val="top"/>
          </w:tcPr>
          <w:p>
            <w:pPr>
              <w:spacing w:after="0" w:line="258"/>
            </w:pPr>
            <w:r>
              <w:rPr>
                <w:b/>
                <w:bCs/>
                <w:sz w:val="20"/>
                <w:szCs w:val="20"/>
              </w:rPr>
              <w:t xml:space="preserve">Serialized fan-out on the critical path</w:t>
            </w:r>
          </w:p>
        </w:tc>
        <w:tc>
          <w:tcPr>
            <w:tcW w:type="dxa" w:w="3140"/>
            <w:tcBorders>
              <w:top w:val="single" w:color="C9D6E5" w:sz="1"/>
              <w:left w:val="single" w:color="C9D6E5" w:sz="1"/>
              <w:bottom w:val="single" w:color="C9D6E5" w:sz="1"/>
              <w:right w:val="single" w:color="C9D6E5" w:sz="1"/>
            </w:tcBorders>
            <w:shd w:fill="FFFFFF" w:val="clear"/>
            <w:tcMar>
              <w:top w:type="dxa" w:w="80"/>
              <w:left w:type="dxa" w:w="110"/>
              <w:bottom w:type="dxa" w:w="80"/>
              <w:right w:type="dxa" w:w="110"/>
            </w:tcMar>
            <w:vAlign w:val="top"/>
          </w:tcPr>
          <w:p>
            <w:pPr>
              <w:spacing w:after="0" w:line="258"/>
            </w:pPr>
            <w:r>
              <w:rPr>
                <w:sz w:val="20"/>
                <w:szCs w:val="20"/>
              </w:rPr>
              <w:t xml:space="preserve">If the orchestrator invokes specialists one after another, a 4-agent saga stacks 4× the per-agent latency and blows the 900ms budget.</w:t>
            </w:r>
          </w:p>
        </w:tc>
        <w:tc>
          <w:tcPr>
            <w:tcW w:type="dxa" w:w="3140"/>
            <w:tcBorders>
              <w:top w:val="single" w:color="C9D6E5" w:sz="1"/>
              <w:left w:val="single" w:color="C9D6E5" w:sz="1"/>
              <w:bottom w:val="single" w:color="C9D6E5" w:sz="1"/>
              <w:right w:val="single" w:color="C9D6E5" w:sz="1"/>
            </w:tcBorders>
            <w:shd w:fill="FFFFFF" w:val="clear"/>
            <w:tcMar>
              <w:top w:type="dxa" w:w="80"/>
              <w:left w:type="dxa" w:w="110"/>
              <w:bottom w:type="dxa" w:w="80"/>
              <w:right w:type="dxa" w:w="110"/>
            </w:tcMar>
            <w:vAlign w:val="top"/>
          </w:tcPr>
          <w:p>
            <w:pPr>
              <w:spacing w:after="0" w:line="258"/>
            </w:pPr>
            <w:r>
              <w:rPr>
                <w:sz w:val="20"/>
                <w:szCs w:val="20"/>
              </w:rPr>
              <w:t xml:space="preserve">Parallel fan-out for independent agents (asyncio.gather); serialize only true dependencies; cache session context in Redis to avoid re-fetch; early-return on the agents that matter.</w:t>
            </w:r>
          </w:p>
        </w:tc>
      </w:tr>
      <w:tr>
        <w:tc>
          <w:tcPr>
            <w:tcW w:type="dxa" w:w="1120"/>
            <w:tcBorders>
              <w:top w:val="single" w:color="C9D6E5" w:sz="1"/>
              <w:left w:val="single" w:color="C9D6E5" w:sz="1"/>
              <w:bottom w:val="single" w:color="C9D6E5" w:sz="1"/>
              <w:right w:val="single" w:color="C9D6E5" w:sz="1"/>
            </w:tcBorders>
            <w:shd w:fill="F2F6FB" w:val="clear"/>
            <w:tcMar>
              <w:top w:type="dxa" w:w="80"/>
              <w:left w:type="dxa" w:w="110"/>
              <w:bottom w:type="dxa" w:w="80"/>
              <w:right w:type="dxa" w:w="110"/>
            </w:tcMar>
            <w:vAlign w:val="top"/>
          </w:tcPr>
          <w:p>
            <w:pPr>
              <w:spacing w:after="0" w:line="258"/>
            </w:pPr>
            <w:r>
              <w:rPr>
                <w:b/>
                <w:bCs/>
                <w:color w:val="B91C1C"/>
                <w:sz w:val="19"/>
                <w:szCs w:val="19"/>
              </w:rPr>
              <w:t xml:space="preserve">hallucination</w:t>
            </w:r>
          </w:p>
        </w:tc>
        <w:tc>
          <w:tcPr>
            <w:tcW w:type="dxa" w:w="1960"/>
            <w:tcBorders>
              <w:top w:val="single" w:color="C9D6E5" w:sz="1"/>
              <w:left w:val="single" w:color="C9D6E5" w:sz="1"/>
              <w:bottom w:val="single" w:color="C9D6E5" w:sz="1"/>
              <w:right w:val="single" w:color="C9D6E5" w:sz="1"/>
            </w:tcBorders>
            <w:shd w:fill="F2F6FB" w:val="clear"/>
            <w:tcMar>
              <w:top w:type="dxa" w:w="80"/>
              <w:left w:type="dxa" w:w="110"/>
              <w:bottom w:type="dxa" w:w="80"/>
              <w:right w:type="dxa" w:w="110"/>
            </w:tcMar>
            <w:vAlign w:val="top"/>
          </w:tcPr>
          <w:p>
            <w:pPr>
              <w:spacing w:after="0" w:line="258"/>
            </w:pPr>
            <w:r>
              <w:rPr>
                <w:b/>
                <w:bCs/>
                <w:sz w:val="20"/>
                <w:szCs w:val="20"/>
              </w:rPr>
              <w:t xml:space="preserve">Silent mis-routing</w:t>
            </w:r>
          </w:p>
        </w:tc>
        <w:tc>
          <w:tcPr>
            <w:tcW w:type="dxa" w:w="3140"/>
            <w:tcBorders>
              <w:top w:val="single" w:color="C9D6E5" w:sz="1"/>
              <w:left w:val="single" w:color="C9D6E5" w:sz="1"/>
              <w:bottom w:val="single" w:color="C9D6E5" w:sz="1"/>
              <w:right w:val="single" w:color="C9D6E5" w:sz="1"/>
            </w:tcBorders>
            <w:shd w:fill="F2F6FB" w:val="clear"/>
            <w:tcMar>
              <w:top w:type="dxa" w:w="80"/>
              <w:left w:type="dxa" w:w="110"/>
              <w:bottom w:type="dxa" w:w="80"/>
              <w:right w:type="dxa" w:w="110"/>
            </w:tcMar>
            <w:vAlign w:val="top"/>
          </w:tcPr>
          <w:p>
            <w:pPr>
              <w:spacing w:after="0" w:line="258"/>
            </w:pPr>
            <w:r>
              <w:rPr>
                <w:sz w:val="20"/>
                <w:szCs w:val="20"/>
              </w:rPr>
              <w:t xml:space="preserve">The orchestrator routes a pharmacovigilance query to the wrong specialist (e.g., Ontology), which answers confidently from the wrong corpus — plausible but wrong, and invisible to answer-quality metrics.</w:t>
            </w:r>
          </w:p>
        </w:tc>
        <w:tc>
          <w:tcPr>
            <w:tcW w:type="dxa" w:w="3140"/>
            <w:tcBorders>
              <w:top w:val="single" w:color="C9D6E5" w:sz="1"/>
              <w:left w:val="single" w:color="C9D6E5" w:sz="1"/>
              <w:bottom w:val="single" w:color="C9D6E5" w:sz="1"/>
              <w:right w:val="single" w:color="C9D6E5" w:sz="1"/>
            </w:tcBorders>
            <w:shd w:fill="F2F6FB" w:val="clear"/>
            <w:tcMar>
              <w:top w:type="dxa" w:w="80"/>
              <w:left w:type="dxa" w:w="110"/>
              <w:bottom w:type="dxa" w:w="80"/>
              <w:right w:type="dxa" w:w="110"/>
            </w:tcMar>
            <w:vAlign w:val="top"/>
          </w:tcPr>
          <w:p>
            <w:pPr>
              <w:spacing w:after="0" w:line="258"/>
            </w:pPr>
            <w:r>
              <w:rPr>
                <w:sz w:val="20"/>
                <w:szCs w:val="20"/>
              </w:rPr>
              <w:t xml:space="preserve">Routing-accuracy eval set with per-agent precision/recall; confidence threshold → multi-agent fan-out or clarify; validate_output_safety cross-checks domain vs agent; routing decision logged to Cosmos.</w:t>
            </w:r>
          </w:p>
        </w:tc>
      </w:tr>
    </w:tbl>
    <w:p>
      <w:pPr>
        <w:pStyle w:val="Heading2"/>
      </w:pPr>
      <w:r>
        <w:t xml:space="preserve">Layer 3 — Service Bus messaging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20"/>
        <w:gridCol w:w="1960"/>
        <w:gridCol w:w="3140"/>
        <w:gridCol w:w="3140"/>
      </w:tblGrid>
      <w:tr>
        <w:trPr>
          <w:tblHeader/>
        </w:trPr>
        <w:tc>
          <w:tcPr>
            <w:tcW w:type="dxa" w:w="1120"/>
            <w:tcBorders>
              <w:top w:val="single" w:color="C9D6E5" w:sz="1"/>
              <w:left w:val="single" w:color="C9D6E5" w:sz="1"/>
              <w:bottom w:val="single" w:color="C9D6E5" w:sz="1"/>
              <w:right w:val="single" w:color="C9D6E5" w:sz="1"/>
            </w:tcBorders>
            <w:shd w:fill="1F3864" w:val="clear"/>
            <w:tcMar>
              <w:top w:type="dxa" w:w="80"/>
              <w:left w:type="dxa" w:w="120"/>
              <w:bottom w:type="dxa" w:w="80"/>
              <w:right w:type="dxa" w:w="120"/>
            </w:tcMar>
            <w:vAlign w:val="center"/>
          </w:tcPr>
          <w:p>
            <w:pPr>
              <w:spacing w:after="0" w:line="264"/>
            </w:pPr>
            <w:r>
              <w:rPr>
                <w:b/>
                <w:bCs/>
                <w:color w:val="FFFFFF"/>
              </w:rPr>
              <w:t xml:space="preserve">Theme</w:t>
            </w:r>
          </w:p>
        </w:tc>
        <w:tc>
          <w:tcPr>
            <w:tcW w:type="dxa" w:w="1960"/>
            <w:tcBorders>
              <w:top w:val="single" w:color="C9D6E5" w:sz="1"/>
              <w:left w:val="single" w:color="C9D6E5" w:sz="1"/>
              <w:bottom w:val="single" w:color="C9D6E5" w:sz="1"/>
              <w:right w:val="single" w:color="C9D6E5" w:sz="1"/>
            </w:tcBorders>
            <w:shd w:fill="1F3864" w:val="clear"/>
            <w:tcMar>
              <w:top w:type="dxa" w:w="80"/>
              <w:left w:type="dxa" w:w="120"/>
              <w:bottom w:type="dxa" w:w="80"/>
              <w:right w:type="dxa" w:w="120"/>
            </w:tcMar>
            <w:vAlign w:val="center"/>
          </w:tcPr>
          <w:p>
            <w:pPr>
              <w:spacing w:after="0" w:line="264"/>
            </w:pPr>
            <w:r>
              <w:rPr>
                <w:b/>
                <w:bCs/>
                <w:color w:val="FFFFFF"/>
              </w:rPr>
              <w:t xml:space="preserve">Pain point</w:t>
            </w:r>
          </w:p>
        </w:tc>
        <w:tc>
          <w:tcPr>
            <w:tcW w:type="dxa" w:w="3140"/>
            <w:tcBorders>
              <w:top w:val="single" w:color="C9D6E5" w:sz="1"/>
              <w:left w:val="single" w:color="C9D6E5" w:sz="1"/>
              <w:bottom w:val="single" w:color="C9D6E5" w:sz="1"/>
              <w:right w:val="single" w:color="C9D6E5" w:sz="1"/>
            </w:tcBorders>
            <w:shd w:fill="1F3864" w:val="clear"/>
            <w:tcMar>
              <w:top w:type="dxa" w:w="80"/>
              <w:left w:type="dxa" w:w="120"/>
              <w:bottom w:type="dxa" w:w="80"/>
              <w:right w:type="dxa" w:w="120"/>
            </w:tcMar>
            <w:vAlign w:val="center"/>
          </w:tcPr>
          <w:p>
            <w:pPr>
              <w:spacing w:after="0" w:line="264"/>
            </w:pPr>
            <w:r>
              <w:rPr>
                <w:b/>
                <w:bCs/>
                <w:color w:val="FFFFFF"/>
              </w:rPr>
              <w:t xml:space="preserve">Problem</w:t>
            </w:r>
          </w:p>
        </w:tc>
        <w:tc>
          <w:tcPr>
            <w:tcW w:type="dxa" w:w="3140"/>
            <w:tcBorders>
              <w:top w:val="single" w:color="C9D6E5" w:sz="1"/>
              <w:left w:val="single" w:color="C9D6E5" w:sz="1"/>
              <w:bottom w:val="single" w:color="C9D6E5" w:sz="1"/>
              <w:right w:val="single" w:color="C9D6E5" w:sz="1"/>
            </w:tcBorders>
            <w:shd w:fill="1F3864" w:val="clear"/>
            <w:tcMar>
              <w:top w:type="dxa" w:w="80"/>
              <w:left w:type="dxa" w:w="120"/>
              <w:bottom w:type="dxa" w:w="80"/>
              <w:right w:type="dxa" w:w="120"/>
            </w:tcMar>
            <w:vAlign w:val="center"/>
          </w:tcPr>
          <w:p>
            <w:pPr>
              <w:spacing w:after="0" w:line="264"/>
            </w:pPr>
            <w:r>
              <w:rPr>
                <w:b/>
                <w:bCs/>
                <w:color w:val="FFFFFF"/>
              </w:rPr>
              <w:t xml:space="preserve">Mitigation</w:t>
            </w:r>
          </w:p>
        </w:tc>
      </w:tr>
      <w:tr>
        <w:tc>
          <w:tcPr>
            <w:tcW w:type="dxa" w:w="1120"/>
            <w:tcBorders>
              <w:top w:val="single" w:color="C9D6E5" w:sz="1"/>
              <w:left w:val="single" w:color="C9D6E5" w:sz="1"/>
              <w:bottom w:val="single" w:color="C9D6E5" w:sz="1"/>
              <w:right w:val="single" w:color="C9D6E5" w:sz="1"/>
            </w:tcBorders>
            <w:shd w:fill="FFFFFF" w:val="clear"/>
            <w:tcMar>
              <w:top w:type="dxa" w:w="80"/>
              <w:left w:type="dxa" w:w="110"/>
              <w:bottom w:type="dxa" w:w="80"/>
              <w:right w:type="dxa" w:w="110"/>
            </w:tcMar>
            <w:vAlign w:val="top"/>
          </w:tcPr>
          <w:p>
            <w:pPr>
              <w:spacing w:after="0" w:line="258"/>
            </w:pPr>
            <w:r>
              <w:rPr>
                <w:b/>
                <w:bCs/>
                <w:color w:val="2E75B6"/>
                <w:sz w:val="19"/>
                <w:szCs w:val="19"/>
              </w:rPr>
              <w:t xml:space="preserve">integration</w:t>
            </w:r>
          </w:p>
        </w:tc>
        <w:tc>
          <w:tcPr>
            <w:tcW w:type="dxa" w:w="1960"/>
            <w:tcBorders>
              <w:top w:val="single" w:color="C9D6E5" w:sz="1"/>
              <w:left w:val="single" w:color="C9D6E5" w:sz="1"/>
              <w:bottom w:val="single" w:color="C9D6E5" w:sz="1"/>
              <w:right w:val="single" w:color="C9D6E5" w:sz="1"/>
            </w:tcBorders>
            <w:shd w:fill="FFFFFF" w:val="clear"/>
            <w:tcMar>
              <w:top w:type="dxa" w:w="80"/>
              <w:left w:type="dxa" w:w="110"/>
              <w:bottom w:type="dxa" w:w="80"/>
              <w:right w:type="dxa" w:w="110"/>
            </w:tcMar>
            <w:vAlign w:val="top"/>
          </w:tcPr>
          <w:p>
            <w:pPr>
              <w:spacing w:after="0" w:line="258"/>
            </w:pPr>
            <w:r>
              <w:rPr>
                <w:b/>
                <w:bCs/>
                <w:sz w:val="20"/>
                <w:szCs w:val="20"/>
              </w:rPr>
              <w:t xml:space="preserve">Schema / version drift between pub &amp; sub</w:t>
            </w:r>
          </w:p>
        </w:tc>
        <w:tc>
          <w:tcPr>
            <w:tcW w:type="dxa" w:w="3140"/>
            <w:tcBorders>
              <w:top w:val="single" w:color="C9D6E5" w:sz="1"/>
              <w:left w:val="single" w:color="C9D6E5" w:sz="1"/>
              <w:bottom w:val="single" w:color="C9D6E5" w:sz="1"/>
              <w:right w:val="single" w:color="C9D6E5" w:sz="1"/>
            </w:tcBorders>
            <w:shd w:fill="FFFFFF" w:val="clear"/>
            <w:tcMar>
              <w:top w:type="dxa" w:w="80"/>
              <w:left w:type="dxa" w:w="110"/>
              <w:bottom w:type="dxa" w:w="80"/>
              <w:right w:type="dxa" w:w="110"/>
            </w:tcMar>
            <w:vAlign w:val="top"/>
          </w:tcPr>
          <w:p>
            <w:pPr>
              <w:spacing w:after="0" w:line="258"/>
            </w:pPr>
            <w:r>
              <w:rPr>
                <w:sz w:val="20"/>
                <w:szCs w:val="20"/>
              </w:rPr>
              <w:t xml:space="preserve">A publisher (e.g., Knowledge) changes its event payload and a subscriber (e.g., Drug Safety) breaks or silently mis-parses — a coordination failure across loosely-coupled agents.</w:t>
            </w:r>
          </w:p>
        </w:tc>
        <w:tc>
          <w:tcPr>
            <w:tcW w:type="dxa" w:w="3140"/>
            <w:tcBorders>
              <w:top w:val="single" w:color="C9D6E5" w:sz="1"/>
              <w:left w:val="single" w:color="C9D6E5" w:sz="1"/>
              <w:bottom w:val="single" w:color="C9D6E5" w:sz="1"/>
              <w:right w:val="single" w:color="C9D6E5" w:sz="1"/>
            </w:tcBorders>
            <w:shd w:fill="FFFFFF" w:val="clear"/>
            <w:tcMar>
              <w:top w:type="dxa" w:w="80"/>
              <w:left w:type="dxa" w:w="110"/>
              <w:bottom w:type="dxa" w:w="80"/>
              <w:right w:type="dxa" w:w="110"/>
            </w:tcMar>
            <w:vAlign w:val="top"/>
          </w:tcPr>
          <w:p>
            <w:pPr>
              <w:spacing w:after="0" w:line="258"/>
            </w:pPr>
            <w:r>
              <w:rPr>
                <w:sz w:val="20"/>
                <w:szCs w:val="20"/>
              </w:rPr>
              <w:t xml:space="preserve">Versioned message contracts (Pydantic / schema registry); additive, backward-compatible changes only; contract tests in CI; deserialize failures land in the DLQ rather than corrupting state.</w:t>
            </w:r>
          </w:p>
        </w:tc>
      </w:tr>
      <w:tr>
        <w:tc>
          <w:tcPr>
            <w:tcW w:type="dxa" w:w="1120"/>
            <w:tcBorders>
              <w:top w:val="single" w:color="C9D6E5" w:sz="1"/>
              <w:left w:val="single" w:color="C9D6E5" w:sz="1"/>
              <w:bottom w:val="single" w:color="C9D6E5" w:sz="1"/>
              <w:right w:val="single" w:color="C9D6E5" w:sz="1"/>
            </w:tcBorders>
            <w:shd w:fill="F2F6FB" w:val="clear"/>
            <w:tcMar>
              <w:top w:type="dxa" w:w="80"/>
              <w:left w:type="dxa" w:w="110"/>
              <w:bottom w:type="dxa" w:w="80"/>
              <w:right w:type="dxa" w:w="110"/>
            </w:tcMar>
            <w:vAlign w:val="top"/>
          </w:tcPr>
          <w:p>
            <w:pPr>
              <w:spacing w:after="0" w:line="258"/>
            </w:pPr>
            <w:r>
              <w:rPr>
                <w:b/>
                <w:bCs/>
                <w:color w:val="B45309"/>
                <w:sz w:val="19"/>
                <w:szCs w:val="19"/>
              </w:rPr>
              <w:t xml:space="preserve">latency</w:t>
            </w:r>
          </w:p>
        </w:tc>
        <w:tc>
          <w:tcPr>
            <w:tcW w:type="dxa" w:w="1960"/>
            <w:tcBorders>
              <w:top w:val="single" w:color="C9D6E5" w:sz="1"/>
              <w:left w:val="single" w:color="C9D6E5" w:sz="1"/>
              <w:bottom w:val="single" w:color="C9D6E5" w:sz="1"/>
              <w:right w:val="single" w:color="C9D6E5" w:sz="1"/>
            </w:tcBorders>
            <w:shd w:fill="F2F6FB" w:val="clear"/>
            <w:tcMar>
              <w:top w:type="dxa" w:w="80"/>
              <w:left w:type="dxa" w:w="110"/>
              <w:bottom w:type="dxa" w:w="80"/>
              <w:right w:type="dxa" w:w="110"/>
            </w:tcMar>
            <w:vAlign w:val="top"/>
          </w:tcPr>
          <w:p>
            <w:pPr>
              <w:spacing w:after="0" w:line="258"/>
            </w:pPr>
            <w:r>
              <w:rPr>
                <w:b/>
                <w:bCs/>
                <w:sz w:val="20"/>
                <w:szCs w:val="20"/>
              </w:rPr>
              <w:t xml:space="preserve">Slow consumer / poison-message backpressure</w:t>
            </w:r>
          </w:p>
        </w:tc>
        <w:tc>
          <w:tcPr>
            <w:tcW w:type="dxa" w:w="3140"/>
            <w:tcBorders>
              <w:top w:val="single" w:color="C9D6E5" w:sz="1"/>
              <w:left w:val="single" w:color="C9D6E5" w:sz="1"/>
              <w:bottom w:val="single" w:color="C9D6E5" w:sz="1"/>
              <w:right w:val="single" w:color="C9D6E5" w:sz="1"/>
            </w:tcBorders>
            <w:shd w:fill="F2F6FB" w:val="clear"/>
            <w:tcMar>
              <w:top w:type="dxa" w:w="80"/>
              <w:left w:type="dxa" w:w="110"/>
              <w:bottom w:type="dxa" w:w="80"/>
              <w:right w:type="dxa" w:w="110"/>
            </w:tcMar>
            <w:vAlign w:val="top"/>
          </w:tcPr>
          <w:p>
            <w:pPr>
              <w:spacing w:after="0" w:line="258"/>
            </w:pPr>
            <w:r>
              <w:rPr>
                <w:sz w:val="20"/>
                <w:szCs w:val="20"/>
              </w:rPr>
              <w:t xml:space="preserve">One slow or failing subscriber backs up a topic and delays downstream saga steps; poison messages retry-loop forever.</w:t>
            </w:r>
          </w:p>
        </w:tc>
        <w:tc>
          <w:tcPr>
            <w:tcW w:type="dxa" w:w="3140"/>
            <w:tcBorders>
              <w:top w:val="single" w:color="C9D6E5" w:sz="1"/>
              <w:left w:val="single" w:color="C9D6E5" w:sz="1"/>
              <w:bottom w:val="single" w:color="C9D6E5" w:sz="1"/>
              <w:right w:val="single" w:color="C9D6E5" w:sz="1"/>
            </w:tcBorders>
            <w:shd w:fill="F2F6FB" w:val="clear"/>
            <w:tcMar>
              <w:top w:type="dxa" w:w="80"/>
              <w:left w:type="dxa" w:w="110"/>
              <w:bottom w:type="dxa" w:w="80"/>
              <w:right w:type="dxa" w:w="110"/>
            </w:tcMar>
            <w:vAlign w:val="top"/>
          </w:tcPr>
          <w:p>
            <w:pPr>
              <w:spacing w:after="0" w:line="258"/>
            </w:pPr>
            <w:r>
              <w:rPr>
                <w:sz w:val="20"/>
                <w:szCs w:val="20"/>
              </w:rPr>
              <w:t xml:space="preserve">Max-delivery-count → DLQ; competing consumers on partitioned subscriptions; per-subscription concurrency limits; correlation-ID saga timeouts so the orchestrator never waits indefinitely.</w:t>
            </w:r>
          </w:p>
        </w:tc>
      </w:tr>
    </w:tbl>
    <w:p>
      <w:pPr>
        <w:pStyle w:val="Heading2"/>
      </w:pPr>
      <w:r>
        <w:t xml:space="preserve">Layer 4 — AI services (Azure OpenAI + AI Search)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20"/>
        <w:gridCol w:w="1960"/>
        <w:gridCol w:w="3140"/>
        <w:gridCol w:w="3140"/>
      </w:tblGrid>
      <w:tr>
        <w:trPr>
          <w:tblHeader/>
        </w:trPr>
        <w:tc>
          <w:tcPr>
            <w:tcW w:type="dxa" w:w="1120"/>
            <w:tcBorders>
              <w:top w:val="single" w:color="C9D6E5" w:sz="1"/>
              <w:left w:val="single" w:color="C9D6E5" w:sz="1"/>
              <w:bottom w:val="single" w:color="C9D6E5" w:sz="1"/>
              <w:right w:val="single" w:color="C9D6E5" w:sz="1"/>
            </w:tcBorders>
            <w:shd w:fill="1F3864" w:val="clear"/>
            <w:tcMar>
              <w:top w:type="dxa" w:w="80"/>
              <w:left w:type="dxa" w:w="120"/>
              <w:bottom w:type="dxa" w:w="80"/>
              <w:right w:type="dxa" w:w="120"/>
            </w:tcMar>
            <w:vAlign w:val="center"/>
          </w:tcPr>
          <w:p>
            <w:pPr>
              <w:spacing w:after="0" w:line="264"/>
            </w:pPr>
            <w:r>
              <w:rPr>
                <w:b/>
                <w:bCs/>
                <w:color w:val="FFFFFF"/>
              </w:rPr>
              <w:t xml:space="preserve">Theme</w:t>
            </w:r>
          </w:p>
        </w:tc>
        <w:tc>
          <w:tcPr>
            <w:tcW w:type="dxa" w:w="1960"/>
            <w:tcBorders>
              <w:top w:val="single" w:color="C9D6E5" w:sz="1"/>
              <w:left w:val="single" w:color="C9D6E5" w:sz="1"/>
              <w:bottom w:val="single" w:color="C9D6E5" w:sz="1"/>
              <w:right w:val="single" w:color="C9D6E5" w:sz="1"/>
            </w:tcBorders>
            <w:shd w:fill="1F3864" w:val="clear"/>
            <w:tcMar>
              <w:top w:type="dxa" w:w="80"/>
              <w:left w:type="dxa" w:w="120"/>
              <w:bottom w:type="dxa" w:w="80"/>
              <w:right w:type="dxa" w:w="120"/>
            </w:tcMar>
            <w:vAlign w:val="center"/>
          </w:tcPr>
          <w:p>
            <w:pPr>
              <w:spacing w:after="0" w:line="264"/>
            </w:pPr>
            <w:r>
              <w:rPr>
                <w:b/>
                <w:bCs/>
                <w:color w:val="FFFFFF"/>
              </w:rPr>
              <w:t xml:space="preserve">Pain point</w:t>
            </w:r>
          </w:p>
        </w:tc>
        <w:tc>
          <w:tcPr>
            <w:tcW w:type="dxa" w:w="3140"/>
            <w:tcBorders>
              <w:top w:val="single" w:color="C9D6E5" w:sz="1"/>
              <w:left w:val="single" w:color="C9D6E5" w:sz="1"/>
              <w:bottom w:val="single" w:color="C9D6E5" w:sz="1"/>
              <w:right w:val="single" w:color="C9D6E5" w:sz="1"/>
            </w:tcBorders>
            <w:shd w:fill="1F3864" w:val="clear"/>
            <w:tcMar>
              <w:top w:type="dxa" w:w="80"/>
              <w:left w:type="dxa" w:w="120"/>
              <w:bottom w:type="dxa" w:w="80"/>
              <w:right w:type="dxa" w:w="120"/>
            </w:tcMar>
            <w:vAlign w:val="center"/>
          </w:tcPr>
          <w:p>
            <w:pPr>
              <w:spacing w:after="0" w:line="264"/>
            </w:pPr>
            <w:r>
              <w:rPr>
                <w:b/>
                <w:bCs/>
                <w:color w:val="FFFFFF"/>
              </w:rPr>
              <w:t xml:space="preserve">Problem</w:t>
            </w:r>
          </w:p>
        </w:tc>
        <w:tc>
          <w:tcPr>
            <w:tcW w:type="dxa" w:w="3140"/>
            <w:tcBorders>
              <w:top w:val="single" w:color="C9D6E5" w:sz="1"/>
              <w:left w:val="single" w:color="C9D6E5" w:sz="1"/>
              <w:bottom w:val="single" w:color="C9D6E5" w:sz="1"/>
              <w:right w:val="single" w:color="C9D6E5" w:sz="1"/>
            </w:tcBorders>
            <w:shd w:fill="1F3864" w:val="clear"/>
            <w:tcMar>
              <w:top w:type="dxa" w:w="80"/>
              <w:left w:type="dxa" w:w="120"/>
              <w:bottom w:type="dxa" w:w="80"/>
              <w:right w:type="dxa" w:w="120"/>
            </w:tcMar>
            <w:vAlign w:val="center"/>
          </w:tcPr>
          <w:p>
            <w:pPr>
              <w:spacing w:after="0" w:line="264"/>
            </w:pPr>
            <w:r>
              <w:rPr>
                <w:b/>
                <w:bCs/>
                <w:color w:val="FFFFFF"/>
              </w:rPr>
              <w:t xml:space="preserve">Mitigation</w:t>
            </w:r>
          </w:p>
        </w:tc>
      </w:tr>
      <w:tr>
        <w:tc>
          <w:tcPr>
            <w:tcW w:type="dxa" w:w="1120"/>
            <w:tcBorders>
              <w:top w:val="single" w:color="C9D6E5" w:sz="1"/>
              <w:left w:val="single" w:color="C9D6E5" w:sz="1"/>
              <w:bottom w:val="single" w:color="C9D6E5" w:sz="1"/>
              <w:right w:val="single" w:color="C9D6E5" w:sz="1"/>
            </w:tcBorders>
            <w:shd w:fill="FFFFFF" w:val="clear"/>
            <w:tcMar>
              <w:top w:type="dxa" w:w="80"/>
              <w:left w:type="dxa" w:w="110"/>
              <w:bottom w:type="dxa" w:w="80"/>
              <w:right w:type="dxa" w:w="110"/>
            </w:tcMar>
            <w:vAlign w:val="top"/>
          </w:tcPr>
          <w:p>
            <w:pPr>
              <w:spacing w:after="0" w:line="258"/>
            </w:pPr>
            <w:r>
              <w:rPr>
                <w:b/>
                <w:bCs/>
                <w:color w:val="B45309"/>
                <w:sz w:val="19"/>
                <w:szCs w:val="19"/>
              </w:rPr>
              <w:t xml:space="preserve">latency</w:t>
            </w:r>
          </w:p>
        </w:tc>
        <w:tc>
          <w:tcPr>
            <w:tcW w:type="dxa" w:w="1960"/>
            <w:tcBorders>
              <w:top w:val="single" w:color="C9D6E5" w:sz="1"/>
              <w:left w:val="single" w:color="C9D6E5" w:sz="1"/>
              <w:bottom w:val="single" w:color="C9D6E5" w:sz="1"/>
              <w:right w:val="single" w:color="C9D6E5" w:sz="1"/>
            </w:tcBorders>
            <w:shd w:fill="FFFFFF" w:val="clear"/>
            <w:tcMar>
              <w:top w:type="dxa" w:w="80"/>
              <w:left w:type="dxa" w:w="110"/>
              <w:bottom w:type="dxa" w:w="80"/>
              <w:right w:type="dxa" w:w="110"/>
            </w:tcMar>
            <w:vAlign w:val="top"/>
          </w:tcPr>
          <w:p>
            <w:pPr>
              <w:spacing w:after="0" w:line="258"/>
            </w:pPr>
            <w:r>
              <w:rPr>
                <w:b/>
                <w:bCs/>
                <w:sz w:val="20"/>
                <w:szCs w:val="20"/>
              </w:rPr>
              <w:t xml:space="preserve">OpenAI TPM throttling on the critical path</w:t>
            </w:r>
          </w:p>
        </w:tc>
        <w:tc>
          <w:tcPr>
            <w:tcW w:type="dxa" w:w="3140"/>
            <w:tcBorders>
              <w:top w:val="single" w:color="C9D6E5" w:sz="1"/>
              <w:left w:val="single" w:color="C9D6E5" w:sz="1"/>
              <w:bottom w:val="single" w:color="C9D6E5" w:sz="1"/>
              <w:right w:val="single" w:color="C9D6E5" w:sz="1"/>
            </w:tcBorders>
            <w:shd w:fill="FFFFFF" w:val="clear"/>
            <w:tcMar>
              <w:top w:type="dxa" w:w="80"/>
              <w:left w:type="dxa" w:w="110"/>
              <w:bottom w:type="dxa" w:w="80"/>
              <w:right w:type="dxa" w:w="110"/>
            </w:tcMar>
            <w:vAlign w:val="top"/>
          </w:tcPr>
          <w:p>
            <w:pPr>
              <w:spacing w:after="0" w:line="258"/>
            </w:pPr>
            <w:r>
              <w:rPr>
                <w:sz w:val="20"/>
                <w:szCs w:val="20"/>
              </w:rPr>
              <w:t xml:space="preserve">Token-per-minute quota bursts trigger 429s and retries that add seconds; GPT-4o calls already dominate end-to-end latency.</w:t>
            </w:r>
          </w:p>
        </w:tc>
        <w:tc>
          <w:tcPr>
            <w:tcW w:type="dxa" w:w="3140"/>
            <w:tcBorders>
              <w:top w:val="single" w:color="C9D6E5" w:sz="1"/>
              <w:left w:val="single" w:color="C9D6E5" w:sz="1"/>
              <w:bottom w:val="single" w:color="C9D6E5" w:sz="1"/>
              <w:right w:val="single" w:color="C9D6E5" w:sz="1"/>
            </w:tcBorders>
            <w:shd w:fill="FFFFFF" w:val="clear"/>
            <w:tcMar>
              <w:top w:type="dxa" w:w="80"/>
              <w:left w:type="dxa" w:w="110"/>
              <w:bottom w:type="dxa" w:w="80"/>
              <w:right w:type="dxa" w:w="110"/>
            </w:tcMar>
            <w:vAlign w:val="top"/>
          </w:tcPr>
          <w:p>
            <w:pPr>
              <w:spacing w:after="0" w:line="258"/>
            </w:pPr>
            <w:r>
              <w:rPr>
                <w:sz w:val="20"/>
                <w:szCs w:val="20"/>
              </w:rPr>
              <w:t xml:space="preserve">Provisioned throughput (PTU) for steady capacity; load-balance across regional deployments; semantic caching of frequent queries; stream tokens to keep time-to-first-token low.</w:t>
            </w:r>
          </w:p>
        </w:tc>
      </w:tr>
      <w:tr>
        <w:tc>
          <w:tcPr>
            <w:tcW w:type="dxa" w:w="1120"/>
            <w:tcBorders>
              <w:top w:val="single" w:color="C9D6E5" w:sz="1"/>
              <w:left w:val="single" w:color="C9D6E5" w:sz="1"/>
              <w:bottom w:val="single" w:color="C9D6E5" w:sz="1"/>
              <w:right w:val="single" w:color="C9D6E5" w:sz="1"/>
            </w:tcBorders>
            <w:shd w:fill="F2F6FB" w:val="clear"/>
            <w:tcMar>
              <w:top w:type="dxa" w:w="80"/>
              <w:left w:type="dxa" w:w="110"/>
              <w:bottom w:type="dxa" w:w="80"/>
              <w:right w:type="dxa" w:w="110"/>
            </w:tcMar>
            <w:vAlign w:val="top"/>
          </w:tcPr>
          <w:p>
            <w:pPr>
              <w:spacing w:after="0" w:line="258"/>
            </w:pPr>
            <w:r>
              <w:rPr>
                <w:b/>
                <w:bCs/>
                <w:color w:val="B91C1C"/>
                <w:sz w:val="19"/>
                <w:szCs w:val="19"/>
              </w:rPr>
              <w:t xml:space="preserve">hallucination</w:t>
            </w:r>
          </w:p>
        </w:tc>
        <w:tc>
          <w:tcPr>
            <w:tcW w:type="dxa" w:w="1960"/>
            <w:tcBorders>
              <w:top w:val="single" w:color="C9D6E5" w:sz="1"/>
              <w:left w:val="single" w:color="C9D6E5" w:sz="1"/>
              <w:bottom w:val="single" w:color="C9D6E5" w:sz="1"/>
              <w:right w:val="single" w:color="C9D6E5" w:sz="1"/>
            </w:tcBorders>
            <w:shd w:fill="F2F6FB" w:val="clear"/>
            <w:tcMar>
              <w:top w:type="dxa" w:w="80"/>
              <w:left w:type="dxa" w:w="110"/>
              <w:bottom w:type="dxa" w:w="80"/>
              <w:right w:type="dxa" w:w="110"/>
            </w:tcMar>
            <w:vAlign w:val="top"/>
          </w:tcPr>
          <w:p>
            <w:pPr>
              <w:spacing w:after="0" w:line="258"/>
            </w:pPr>
            <w:r>
              <w:rPr>
                <w:b/>
                <w:bCs/>
                <w:sz w:val="20"/>
                <w:szCs w:val="20"/>
              </w:rPr>
              <w:t xml:space="preserve">Thin-retrieval confabulation</w:t>
            </w:r>
          </w:p>
        </w:tc>
        <w:tc>
          <w:tcPr>
            <w:tcW w:type="dxa" w:w="3140"/>
            <w:tcBorders>
              <w:top w:val="single" w:color="C9D6E5" w:sz="1"/>
              <w:left w:val="single" w:color="C9D6E5" w:sz="1"/>
              <w:bottom w:val="single" w:color="C9D6E5" w:sz="1"/>
              <w:right w:val="single" w:color="C9D6E5" w:sz="1"/>
            </w:tcBorders>
            <w:shd w:fill="F2F6FB" w:val="clear"/>
            <w:tcMar>
              <w:top w:type="dxa" w:w="80"/>
              <w:left w:type="dxa" w:w="110"/>
              <w:bottom w:type="dxa" w:w="80"/>
              <w:right w:type="dxa" w:w="110"/>
            </w:tcMar>
            <w:vAlign w:val="top"/>
          </w:tcPr>
          <w:p>
            <w:pPr>
              <w:spacing w:after="0" w:line="258"/>
            </w:pPr>
            <w:r>
              <w:rPr>
                <w:sz w:val="20"/>
                <w:szCs w:val="20"/>
              </w:rPr>
              <w:t xml:space="preserve">When AI Search returns weak or irrelevant context, the LLM still answers fluently — fabricating a contraindication or citation. This is the residual risk we monitor rather than claim solved.</w:t>
            </w:r>
          </w:p>
        </w:tc>
        <w:tc>
          <w:tcPr>
            <w:tcW w:type="dxa" w:w="3140"/>
            <w:tcBorders>
              <w:top w:val="single" w:color="C9D6E5" w:sz="1"/>
              <w:left w:val="single" w:color="C9D6E5" w:sz="1"/>
              <w:bottom w:val="single" w:color="C9D6E5" w:sz="1"/>
              <w:right w:val="single" w:color="C9D6E5" w:sz="1"/>
            </w:tcBorders>
            <w:shd w:fill="F2F6FB" w:val="clear"/>
            <w:tcMar>
              <w:top w:type="dxa" w:w="80"/>
              <w:left w:type="dxa" w:w="110"/>
              <w:bottom w:type="dxa" w:w="80"/>
              <w:right w:type="dxa" w:w="110"/>
            </w:tcMar>
            <w:vAlign w:val="top"/>
          </w:tcPr>
          <w:p>
            <w:pPr>
              <w:spacing w:after="0" w:line="258"/>
            </w:pPr>
            <w:r>
              <w:rPr>
                <w:sz w:val="20"/>
                <w:szCs w:val="20"/>
              </w:rPr>
              <w:t xml:space="preserve">Retrieval-confidence floor → “insufficient evidence” instead of answering; reranker score threshold; faithfulness + completeness eval; citation verification inside validate_output_safety.</w:t>
            </w:r>
          </w:p>
        </w:tc>
      </w:tr>
    </w:tbl>
    <w:p>
      <w:pPr>
        <w:pStyle w:val="Heading2"/>
      </w:pPr>
      <w:r>
        <w:t xml:space="preserve">Layer 5 — Ingestion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20"/>
        <w:gridCol w:w="1960"/>
        <w:gridCol w:w="3140"/>
        <w:gridCol w:w="3140"/>
      </w:tblGrid>
      <w:tr>
        <w:trPr>
          <w:tblHeader/>
        </w:trPr>
        <w:tc>
          <w:tcPr>
            <w:tcW w:type="dxa" w:w="1120"/>
            <w:tcBorders>
              <w:top w:val="single" w:color="C9D6E5" w:sz="1"/>
              <w:left w:val="single" w:color="C9D6E5" w:sz="1"/>
              <w:bottom w:val="single" w:color="C9D6E5" w:sz="1"/>
              <w:right w:val="single" w:color="C9D6E5" w:sz="1"/>
            </w:tcBorders>
            <w:shd w:fill="1F3864" w:val="clear"/>
            <w:tcMar>
              <w:top w:type="dxa" w:w="80"/>
              <w:left w:type="dxa" w:w="120"/>
              <w:bottom w:type="dxa" w:w="80"/>
              <w:right w:type="dxa" w:w="120"/>
            </w:tcMar>
            <w:vAlign w:val="center"/>
          </w:tcPr>
          <w:p>
            <w:pPr>
              <w:spacing w:after="0" w:line="264"/>
            </w:pPr>
            <w:r>
              <w:rPr>
                <w:b/>
                <w:bCs/>
                <w:color w:val="FFFFFF"/>
              </w:rPr>
              <w:t xml:space="preserve">Theme</w:t>
            </w:r>
          </w:p>
        </w:tc>
        <w:tc>
          <w:tcPr>
            <w:tcW w:type="dxa" w:w="1960"/>
            <w:tcBorders>
              <w:top w:val="single" w:color="C9D6E5" w:sz="1"/>
              <w:left w:val="single" w:color="C9D6E5" w:sz="1"/>
              <w:bottom w:val="single" w:color="C9D6E5" w:sz="1"/>
              <w:right w:val="single" w:color="C9D6E5" w:sz="1"/>
            </w:tcBorders>
            <w:shd w:fill="1F3864" w:val="clear"/>
            <w:tcMar>
              <w:top w:type="dxa" w:w="80"/>
              <w:left w:type="dxa" w:w="120"/>
              <w:bottom w:type="dxa" w:w="80"/>
              <w:right w:type="dxa" w:w="120"/>
            </w:tcMar>
            <w:vAlign w:val="center"/>
          </w:tcPr>
          <w:p>
            <w:pPr>
              <w:spacing w:after="0" w:line="264"/>
            </w:pPr>
            <w:r>
              <w:rPr>
                <w:b/>
                <w:bCs/>
                <w:color w:val="FFFFFF"/>
              </w:rPr>
              <w:t xml:space="preserve">Pain point</w:t>
            </w:r>
          </w:p>
        </w:tc>
        <w:tc>
          <w:tcPr>
            <w:tcW w:type="dxa" w:w="3140"/>
            <w:tcBorders>
              <w:top w:val="single" w:color="C9D6E5" w:sz="1"/>
              <w:left w:val="single" w:color="C9D6E5" w:sz="1"/>
              <w:bottom w:val="single" w:color="C9D6E5" w:sz="1"/>
              <w:right w:val="single" w:color="C9D6E5" w:sz="1"/>
            </w:tcBorders>
            <w:shd w:fill="1F3864" w:val="clear"/>
            <w:tcMar>
              <w:top w:type="dxa" w:w="80"/>
              <w:left w:type="dxa" w:w="120"/>
              <w:bottom w:type="dxa" w:w="80"/>
              <w:right w:type="dxa" w:w="120"/>
            </w:tcMar>
            <w:vAlign w:val="center"/>
          </w:tcPr>
          <w:p>
            <w:pPr>
              <w:spacing w:after="0" w:line="264"/>
            </w:pPr>
            <w:r>
              <w:rPr>
                <w:b/>
                <w:bCs/>
                <w:color w:val="FFFFFF"/>
              </w:rPr>
              <w:t xml:space="preserve">Problem</w:t>
            </w:r>
          </w:p>
        </w:tc>
        <w:tc>
          <w:tcPr>
            <w:tcW w:type="dxa" w:w="3140"/>
            <w:tcBorders>
              <w:top w:val="single" w:color="C9D6E5" w:sz="1"/>
              <w:left w:val="single" w:color="C9D6E5" w:sz="1"/>
              <w:bottom w:val="single" w:color="C9D6E5" w:sz="1"/>
              <w:right w:val="single" w:color="C9D6E5" w:sz="1"/>
            </w:tcBorders>
            <w:shd w:fill="1F3864" w:val="clear"/>
            <w:tcMar>
              <w:top w:type="dxa" w:w="80"/>
              <w:left w:type="dxa" w:w="120"/>
              <w:bottom w:type="dxa" w:w="80"/>
              <w:right w:type="dxa" w:w="120"/>
            </w:tcMar>
            <w:vAlign w:val="center"/>
          </w:tcPr>
          <w:p>
            <w:pPr>
              <w:spacing w:after="0" w:line="264"/>
            </w:pPr>
            <w:r>
              <w:rPr>
                <w:b/>
                <w:bCs/>
                <w:color w:val="FFFFFF"/>
              </w:rPr>
              <w:t xml:space="preserve">Mitigation</w:t>
            </w:r>
          </w:p>
        </w:tc>
      </w:tr>
      <w:tr>
        <w:tc>
          <w:tcPr>
            <w:tcW w:type="dxa" w:w="1120"/>
            <w:tcBorders>
              <w:top w:val="single" w:color="C9D6E5" w:sz="1"/>
              <w:left w:val="single" w:color="C9D6E5" w:sz="1"/>
              <w:bottom w:val="single" w:color="C9D6E5" w:sz="1"/>
              <w:right w:val="single" w:color="C9D6E5" w:sz="1"/>
            </w:tcBorders>
            <w:shd w:fill="FFFFFF" w:val="clear"/>
            <w:tcMar>
              <w:top w:type="dxa" w:w="80"/>
              <w:left w:type="dxa" w:w="110"/>
              <w:bottom w:type="dxa" w:w="80"/>
              <w:right w:type="dxa" w:w="110"/>
            </w:tcMar>
            <w:vAlign w:val="top"/>
          </w:tcPr>
          <w:p>
            <w:pPr>
              <w:spacing w:after="0" w:line="258"/>
            </w:pPr>
            <w:r>
              <w:rPr>
                <w:b/>
                <w:bCs/>
                <w:color w:val="2E75B6"/>
                <w:sz w:val="19"/>
                <w:szCs w:val="19"/>
              </w:rPr>
              <w:t xml:space="preserve">integration</w:t>
            </w:r>
          </w:p>
        </w:tc>
        <w:tc>
          <w:tcPr>
            <w:tcW w:type="dxa" w:w="1960"/>
            <w:tcBorders>
              <w:top w:val="single" w:color="C9D6E5" w:sz="1"/>
              <w:left w:val="single" w:color="C9D6E5" w:sz="1"/>
              <w:bottom w:val="single" w:color="C9D6E5" w:sz="1"/>
              <w:right w:val="single" w:color="C9D6E5" w:sz="1"/>
            </w:tcBorders>
            <w:shd w:fill="FFFFFF" w:val="clear"/>
            <w:tcMar>
              <w:top w:type="dxa" w:w="80"/>
              <w:left w:type="dxa" w:w="110"/>
              <w:bottom w:type="dxa" w:w="80"/>
              <w:right w:type="dxa" w:w="110"/>
            </w:tcMar>
            <w:vAlign w:val="top"/>
          </w:tcPr>
          <w:p>
            <w:pPr>
              <w:spacing w:after="0" w:line="258"/>
            </w:pPr>
            <w:r>
              <w:rPr>
                <w:b/>
                <w:bCs/>
                <w:sz w:val="20"/>
                <w:szCs w:val="20"/>
              </w:rPr>
              <w:t xml:space="preserve">Embedding-model version skew</w:t>
            </w:r>
          </w:p>
        </w:tc>
        <w:tc>
          <w:tcPr>
            <w:tcW w:type="dxa" w:w="3140"/>
            <w:tcBorders>
              <w:top w:val="single" w:color="C9D6E5" w:sz="1"/>
              <w:left w:val="single" w:color="C9D6E5" w:sz="1"/>
              <w:bottom w:val="single" w:color="C9D6E5" w:sz="1"/>
              <w:right w:val="single" w:color="C9D6E5" w:sz="1"/>
            </w:tcBorders>
            <w:shd w:fill="FFFFFF" w:val="clear"/>
            <w:tcMar>
              <w:top w:type="dxa" w:w="80"/>
              <w:left w:type="dxa" w:w="110"/>
              <w:bottom w:type="dxa" w:w="80"/>
              <w:right w:type="dxa" w:w="110"/>
            </w:tcMar>
            <w:vAlign w:val="top"/>
          </w:tcPr>
          <w:p>
            <w:pPr>
              <w:spacing w:after="0" w:line="258"/>
            </w:pPr>
            <w:r>
              <w:rPr>
                <w:sz w:val="20"/>
                <w:szCs w:val="20"/>
              </w:rPr>
              <w:t xml:space="preserve">An index rebuilt with a new embedding model while old vectors remain produces a mixed vector space and silently degraded retrieval.</w:t>
            </w:r>
          </w:p>
        </w:tc>
        <w:tc>
          <w:tcPr>
            <w:tcW w:type="dxa" w:w="3140"/>
            <w:tcBorders>
              <w:top w:val="single" w:color="C9D6E5" w:sz="1"/>
              <w:left w:val="single" w:color="C9D6E5" w:sz="1"/>
              <w:bottom w:val="single" w:color="C9D6E5" w:sz="1"/>
              <w:right w:val="single" w:color="C9D6E5" w:sz="1"/>
            </w:tcBorders>
            <w:shd w:fill="FFFFFF" w:val="clear"/>
            <w:tcMar>
              <w:top w:type="dxa" w:w="80"/>
              <w:left w:type="dxa" w:w="110"/>
              <w:bottom w:type="dxa" w:w="80"/>
              <w:right w:type="dxa" w:w="110"/>
            </w:tcMar>
            <w:vAlign w:val="top"/>
          </w:tcPr>
          <w:p>
            <w:pPr>
              <w:spacing w:after="0" w:line="258"/>
            </w:pPr>
            <w:r>
              <w:rPr>
                <w:sz w:val="20"/>
                <w:szCs w:val="20"/>
              </w:rPr>
              <w:t xml:space="preserve">embedding_version metadata per chunk; blue/green index swap; full re-embed gated behind a version bump; never query across mixed versions.</w:t>
            </w:r>
          </w:p>
        </w:tc>
      </w:tr>
      <w:tr>
        <w:tc>
          <w:tcPr>
            <w:tcW w:type="dxa" w:w="1120"/>
            <w:tcBorders>
              <w:top w:val="single" w:color="C9D6E5" w:sz="1"/>
              <w:left w:val="single" w:color="C9D6E5" w:sz="1"/>
              <w:bottom w:val="single" w:color="C9D6E5" w:sz="1"/>
              <w:right w:val="single" w:color="C9D6E5" w:sz="1"/>
            </w:tcBorders>
            <w:shd w:fill="F2F6FB" w:val="clear"/>
            <w:tcMar>
              <w:top w:type="dxa" w:w="80"/>
              <w:left w:type="dxa" w:w="110"/>
              <w:bottom w:type="dxa" w:w="80"/>
              <w:right w:type="dxa" w:w="110"/>
            </w:tcMar>
            <w:vAlign w:val="top"/>
          </w:tcPr>
          <w:p>
            <w:pPr>
              <w:spacing w:after="0" w:line="258"/>
            </w:pPr>
            <w:r>
              <w:rPr>
                <w:b/>
                <w:bCs/>
                <w:color w:val="B91C1C"/>
                <w:sz w:val="19"/>
                <w:szCs w:val="19"/>
              </w:rPr>
              <w:t xml:space="preserve">hallucination</w:t>
            </w:r>
          </w:p>
        </w:tc>
        <w:tc>
          <w:tcPr>
            <w:tcW w:type="dxa" w:w="1960"/>
            <w:tcBorders>
              <w:top w:val="single" w:color="C9D6E5" w:sz="1"/>
              <w:left w:val="single" w:color="C9D6E5" w:sz="1"/>
              <w:bottom w:val="single" w:color="C9D6E5" w:sz="1"/>
              <w:right w:val="single" w:color="C9D6E5" w:sz="1"/>
            </w:tcBorders>
            <w:shd w:fill="F2F6FB" w:val="clear"/>
            <w:tcMar>
              <w:top w:type="dxa" w:w="80"/>
              <w:left w:type="dxa" w:w="110"/>
              <w:bottom w:type="dxa" w:w="80"/>
              <w:right w:type="dxa" w:w="110"/>
            </w:tcMar>
            <w:vAlign w:val="top"/>
          </w:tcPr>
          <w:p>
            <w:pPr>
              <w:spacing w:after="0" w:line="258"/>
            </w:pPr>
            <w:r>
              <w:rPr>
                <w:b/>
                <w:bCs/>
                <w:sz w:val="20"/>
                <w:szCs w:val="20"/>
              </w:rPr>
              <w:t xml:space="preserve">Table / structure parsing loss (upstream cause)</w:t>
            </w:r>
          </w:p>
        </w:tc>
        <w:tc>
          <w:tcPr>
            <w:tcW w:type="dxa" w:w="3140"/>
            <w:tcBorders>
              <w:top w:val="single" w:color="C9D6E5" w:sz="1"/>
              <w:left w:val="single" w:color="C9D6E5" w:sz="1"/>
              <w:bottom w:val="single" w:color="C9D6E5" w:sz="1"/>
              <w:right w:val="single" w:color="C9D6E5" w:sz="1"/>
            </w:tcBorders>
            <w:shd w:fill="F2F6FB" w:val="clear"/>
            <w:tcMar>
              <w:top w:type="dxa" w:w="80"/>
              <w:left w:type="dxa" w:w="110"/>
              <w:bottom w:type="dxa" w:w="80"/>
              <w:right w:type="dxa" w:w="110"/>
            </w:tcMar>
            <w:vAlign w:val="top"/>
          </w:tcPr>
          <w:p>
            <w:pPr>
              <w:spacing w:after="0" w:line="258"/>
            </w:pPr>
            <w:r>
              <w:rPr>
                <w:sz w:val="20"/>
                <w:szCs w:val="20"/>
              </w:rPr>
              <w:t xml:space="preserve">Document Intelligence misparses a complex regulatory table and drops a contraindication; the downstream answer is perfectly grounded but incomplete — a silent failure.</w:t>
            </w:r>
          </w:p>
        </w:tc>
        <w:tc>
          <w:tcPr>
            <w:tcW w:type="dxa" w:w="3140"/>
            <w:tcBorders>
              <w:top w:val="single" w:color="C9D6E5" w:sz="1"/>
              <w:left w:val="single" w:color="C9D6E5" w:sz="1"/>
              <w:bottom w:val="single" w:color="C9D6E5" w:sz="1"/>
              <w:right w:val="single" w:color="C9D6E5" w:sz="1"/>
            </w:tcBorders>
            <w:shd w:fill="F2F6FB" w:val="clear"/>
            <w:tcMar>
              <w:top w:type="dxa" w:w="80"/>
              <w:left w:type="dxa" w:w="110"/>
              <w:bottom w:type="dxa" w:w="80"/>
              <w:right w:type="dxa" w:w="110"/>
            </w:tcMar>
            <w:vAlign w:val="top"/>
          </w:tcPr>
          <w:p>
            <w:pPr>
              <w:spacing w:after="0" w:line="258"/>
            </w:pPr>
            <w:r>
              <w:rPr>
                <w:sz w:val="20"/>
                <w:szCs w:val="20"/>
              </w:rPr>
              <w:t xml:space="preserve">Dual-indexed tables; a completeness metric on extracted content; SME spot-checks on high-risk document types; parsing-confidence flags routed to human review.</w:t>
            </w:r>
          </w:p>
        </w:tc>
      </w:tr>
    </w:tbl>
    <w:p>
      <w:pPr>
        <w:pStyle w:val="Heading2"/>
      </w:pPr>
      <w:r>
        <w:t xml:space="preserve">Layer 6 — State &amp; observability (Redis, Cosmos, OTel)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20"/>
        <w:gridCol w:w="1960"/>
        <w:gridCol w:w="3140"/>
        <w:gridCol w:w="3140"/>
      </w:tblGrid>
      <w:tr>
        <w:trPr>
          <w:tblHeader/>
        </w:trPr>
        <w:tc>
          <w:tcPr>
            <w:tcW w:type="dxa" w:w="1120"/>
            <w:tcBorders>
              <w:top w:val="single" w:color="C9D6E5" w:sz="1"/>
              <w:left w:val="single" w:color="C9D6E5" w:sz="1"/>
              <w:bottom w:val="single" w:color="C9D6E5" w:sz="1"/>
              <w:right w:val="single" w:color="C9D6E5" w:sz="1"/>
            </w:tcBorders>
            <w:shd w:fill="1F3864" w:val="clear"/>
            <w:tcMar>
              <w:top w:type="dxa" w:w="80"/>
              <w:left w:type="dxa" w:w="120"/>
              <w:bottom w:type="dxa" w:w="80"/>
              <w:right w:type="dxa" w:w="120"/>
            </w:tcMar>
            <w:vAlign w:val="center"/>
          </w:tcPr>
          <w:p>
            <w:pPr>
              <w:spacing w:after="0" w:line="264"/>
            </w:pPr>
            <w:r>
              <w:rPr>
                <w:b/>
                <w:bCs/>
                <w:color w:val="FFFFFF"/>
              </w:rPr>
              <w:t xml:space="preserve">Theme</w:t>
            </w:r>
          </w:p>
        </w:tc>
        <w:tc>
          <w:tcPr>
            <w:tcW w:type="dxa" w:w="1960"/>
            <w:tcBorders>
              <w:top w:val="single" w:color="C9D6E5" w:sz="1"/>
              <w:left w:val="single" w:color="C9D6E5" w:sz="1"/>
              <w:bottom w:val="single" w:color="C9D6E5" w:sz="1"/>
              <w:right w:val="single" w:color="C9D6E5" w:sz="1"/>
            </w:tcBorders>
            <w:shd w:fill="1F3864" w:val="clear"/>
            <w:tcMar>
              <w:top w:type="dxa" w:w="80"/>
              <w:left w:type="dxa" w:w="120"/>
              <w:bottom w:type="dxa" w:w="80"/>
              <w:right w:type="dxa" w:w="120"/>
            </w:tcMar>
            <w:vAlign w:val="center"/>
          </w:tcPr>
          <w:p>
            <w:pPr>
              <w:spacing w:after="0" w:line="264"/>
            </w:pPr>
            <w:r>
              <w:rPr>
                <w:b/>
                <w:bCs/>
                <w:color w:val="FFFFFF"/>
              </w:rPr>
              <w:t xml:space="preserve">Pain point</w:t>
            </w:r>
          </w:p>
        </w:tc>
        <w:tc>
          <w:tcPr>
            <w:tcW w:type="dxa" w:w="3140"/>
            <w:tcBorders>
              <w:top w:val="single" w:color="C9D6E5" w:sz="1"/>
              <w:left w:val="single" w:color="C9D6E5" w:sz="1"/>
              <w:bottom w:val="single" w:color="C9D6E5" w:sz="1"/>
              <w:right w:val="single" w:color="C9D6E5" w:sz="1"/>
            </w:tcBorders>
            <w:shd w:fill="1F3864" w:val="clear"/>
            <w:tcMar>
              <w:top w:type="dxa" w:w="80"/>
              <w:left w:type="dxa" w:w="120"/>
              <w:bottom w:type="dxa" w:w="80"/>
              <w:right w:type="dxa" w:w="120"/>
            </w:tcMar>
            <w:vAlign w:val="center"/>
          </w:tcPr>
          <w:p>
            <w:pPr>
              <w:spacing w:after="0" w:line="264"/>
            </w:pPr>
            <w:r>
              <w:rPr>
                <w:b/>
                <w:bCs/>
                <w:color w:val="FFFFFF"/>
              </w:rPr>
              <w:t xml:space="preserve">Problem</w:t>
            </w:r>
          </w:p>
        </w:tc>
        <w:tc>
          <w:tcPr>
            <w:tcW w:type="dxa" w:w="3140"/>
            <w:tcBorders>
              <w:top w:val="single" w:color="C9D6E5" w:sz="1"/>
              <w:left w:val="single" w:color="C9D6E5" w:sz="1"/>
              <w:bottom w:val="single" w:color="C9D6E5" w:sz="1"/>
              <w:right w:val="single" w:color="C9D6E5" w:sz="1"/>
            </w:tcBorders>
            <w:shd w:fill="1F3864" w:val="clear"/>
            <w:tcMar>
              <w:top w:type="dxa" w:w="80"/>
              <w:left w:type="dxa" w:w="120"/>
              <w:bottom w:type="dxa" w:w="80"/>
              <w:right w:type="dxa" w:w="120"/>
            </w:tcMar>
            <w:vAlign w:val="center"/>
          </w:tcPr>
          <w:p>
            <w:pPr>
              <w:spacing w:after="0" w:line="264"/>
            </w:pPr>
            <w:r>
              <w:rPr>
                <w:b/>
                <w:bCs/>
                <w:color w:val="FFFFFF"/>
              </w:rPr>
              <w:t xml:space="preserve">Mitigation</w:t>
            </w:r>
          </w:p>
        </w:tc>
      </w:tr>
      <w:tr>
        <w:tc>
          <w:tcPr>
            <w:tcW w:type="dxa" w:w="1120"/>
            <w:tcBorders>
              <w:top w:val="single" w:color="C9D6E5" w:sz="1"/>
              <w:left w:val="single" w:color="C9D6E5" w:sz="1"/>
              <w:bottom w:val="single" w:color="C9D6E5" w:sz="1"/>
              <w:right w:val="single" w:color="C9D6E5" w:sz="1"/>
            </w:tcBorders>
            <w:shd w:fill="FFFFFF" w:val="clear"/>
            <w:tcMar>
              <w:top w:type="dxa" w:w="80"/>
              <w:left w:type="dxa" w:w="110"/>
              <w:bottom w:type="dxa" w:w="80"/>
              <w:right w:type="dxa" w:w="110"/>
            </w:tcMar>
            <w:vAlign w:val="top"/>
          </w:tcPr>
          <w:p>
            <w:pPr>
              <w:spacing w:after="0" w:line="258"/>
            </w:pPr>
            <w:r>
              <w:rPr>
                <w:b/>
                <w:bCs/>
                <w:color w:val="2E75B6"/>
                <w:sz w:val="19"/>
                <w:szCs w:val="19"/>
              </w:rPr>
              <w:t xml:space="preserve">integration</w:t>
            </w:r>
          </w:p>
        </w:tc>
        <w:tc>
          <w:tcPr>
            <w:tcW w:type="dxa" w:w="1960"/>
            <w:tcBorders>
              <w:top w:val="single" w:color="C9D6E5" w:sz="1"/>
              <w:left w:val="single" w:color="C9D6E5" w:sz="1"/>
              <w:bottom w:val="single" w:color="C9D6E5" w:sz="1"/>
              <w:right w:val="single" w:color="C9D6E5" w:sz="1"/>
            </w:tcBorders>
            <w:shd w:fill="FFFFFF" w:val="clear"/>
            <w:tcMar>
              <w:top w:type="dxa" w:w="80"/>
              <w:left w:type="dxa" w:w="110"/>
              <w:bottom w:type="dxa" w:w="80"/>
              <w:right w:type="dxa" w:w="110"/>
            </w:tcMar>
            <w:vAlign w:val="top"/>
          </w:tcPr>
          <w:p>
            <w:pPr>
              <w:spacing w:after="0" w:line="258"/>
            </w:pPr>
            <w:r>
              <w:rPr>
                <w:b/>
                <w:bCs/>
                <w:sz w:val="20"/>
                <w:szCs w:val="20"/>
              </w:rPr>
              <w:t xml:space="preserve">Session-state loss on Redis eviction/failover</w:t>
            </w:r>
          </w:p>
        </w:tc>
        <w:tc>
          <w:tcPr>
            <w:tcW w:type="dxa" w:w="3140"/>
            <w:tcBorders>
              <w:top w:val="single" w:color="C9D6E5" w:sz="1"/>
              <w:left w:val="single" w:color="C9D6E5" w:sz="1"/>
              <w:bottom w:val="single" w:color="C9D6E5" w:sz="1"/>
              <w:right w:val="single" w:color="C9D6E5" w:sz="1"/>
            </w:tcBorders>
            <w:shd w:fill="FFFFFF" w:val="clear"/>
            <w:tcMar>
              <w:top w:type="dxa" w:w="80"/>
              <w:left w:type="dxa" w:w="110"/>
              <w:bottom w:type="dxa" w:w="80"/>
              <w:right w:type="dxa" w:w="110"/>
            </w:tcMar>
            <w:vAlign w:val="top"/>
          </w:tcPr>
          <w:p>
            <w:pPr>
              <w:spacing w:after="0" w:line="258"/>
            </w:pPr>
            <w:r>
              <w:rPr>
                <w:sz w:val="20"/>
                <w:szCs w:val="20"/>
              </w:rPr>
              <w:t xml:space="preserve">Redis evicts or fails over mid-conversation; the orchestrator loses context and restarts the saga or drops required disclaimers.</w:t>
            </w:r>
          </w:p>
        </w:tc>
        <w:tc>
          <w:tcPr>
            <w:tcW w:type="dxa" w:w="3140"/>
            <w:tcBorders>
              <w:top w:val="single" w:color="C9D6E5" w:sz="1"/>
              <w:left w:val="single" w:color="C9D6E5" w:sz="1"/>
              <w:bottom w:val="single" w:color="C9D6E5" w:sz="1"/>
              <w:right w:val="single" w:color="C9D6E5" w:sz="1"/>
            </w:tcBorders>
            <w:shd w:fill="FFFFFF" w:val="clear"/>
            <w:tcMar>
              <w:top w:type="dxa" w:w="80"/>
              <w:left w:type="dxa" w:w="110"/>
              <w:bottom w:type="dxa" w:w="80"/>
              <w:right w:type="dxa" w:w="110"/>
            </w:tcMar>
            <w:vAlign w:val="top"/>
          </w:tcPr>
          <w:p>
            <w:pPr>
              <w:spacing w:after="0" w:line="258"/>
            </w:pPr>
            <w:r>
              <w:rPr>
                <w:sz w:val="20"/>
                <w:szCs w:val="20"/>
              </w:rPr>
              <w:t xml:space="preserve">TTL tuned to session length; durable saga checkpoints to Cosmos; graceful reconstruction from Cosmos on miss; active-passive Redis with persistence.</w:t>
            </w:r>
          </w:p>
        </w:tc>
      </w:tr>
      <w:tr>
        <w:tc>
          <w:tcPr>
            <w:tcW w:type="dxa" w:w="1120"/>
            <w:tcBorders>
              <w:top w:val="single" w:color="C9D6E5" w:sz="1"/>
              <w:left w:val="single" w:color="C9D6E5" w:sz="1"/>
              <w:bottom w:val="single" w:color="C9D6E5" w:sz="1"/>
              <w:right w:val="single" w:color="C9D6E5" w:sz="1"/>
            </w:tcBorders>
            <w:shd w:fill="F2F6FB" w:val="clear"/>
            <w:tcMar>
              <w:top w:type="dxa" w:w="80"/>
              <w:left w:type="dxa" w:w="110"/>
              <w:bottom w:type="dxa" w:w="80"/>
              <w:right w:type="dxa" w:w="110"/>
            </w:tcMar>
            <w:vAlign w:val="top"/>
          </w:tcPr>
          <w:p>
            <w:pPr>
              <w:spacing w:after="0" w:line="258"/>
            </w:pPr>
            <w:r>
              <w:rPr>
                <w:b/>
                <w:bCs/>
                <w:color w:val="B91C1C"/>
                <w:sz w:val="19"/>
                <w:szCs w:val="19"/>
              </w:rPr>
              <w:t xml:space="preserve">hallucination</w:t>
            </w:r>
          </w:p>
        </w:tc>
        <w:tc>
          <w:tcPr>
            <w:tcW w:type="dxa" w:w="1960"/>
            <w:tcBorders>
              <w:top w:val="single" w:color="C9D6E5" w:sz="1"/>
              <w:left w:val="single" w:color="C9D6E5" w:sz="1"/>
              <w:bottom w:val="single" w:color="C9D6E5" w:sz="1"/>
              <w:right w:val="single" w:color="C9D6E5" w:sz="1"/>
            </w:tcBorders>
            <w:shd w:fill="F2F6FB" w:val="clear"/>
            <w:tcMar>
              <w:top w:type="dxa" w:w="80"/>
              <w:left w:type="dxa" w:w="110"/>
              <w:bottom w:type="dxa" w:w="80"/>
              <w:right w:type="dxa" w:w="110"/>
            </w:tcMar>
            <w:vAlign w:val="top"/>
          </w:tcPr>
          <w:p>
            <w:pPr>
              <w:spacing w:after="0" w:line="258"/>
            </w:pPr>
            <w:r>
              <w:rPr>
                <w:b/>
                <w:bCs/>
                <w:sz w:val="20"/>
                <w:szCs w:val="20"/>
              </w:rPr>
              <w:t xml:space="preserve">Trace gaps break auditability</w:t>
            </w:r>
          </w:p>
        </w:tc>
        <w:tc>
          <w:tcPr>
            <w:tcW w:type="dxa" w:w="3140"/>
            <w:tcBorders>
              <w:top w:val="single" w:color="C9D6E5" w:sz="1"/>
              <w:left w:val="single" w:color="C9D6E5" w:sz="1"/>
              <w:bottom w:val="single" w:color="C9D6E5" w:sz="1"/>
              <w:right w:val="single" w:color="C9D6E5" w:sz="1"/>
            </w:tcBorders>
            <w:shd w:fill="F2F6FB" w:val="clear"/>
            <w:tcMar>
              <w:top w:type="dxa" w:w="80"/>
              <w:left w:type="dxa" w:w="110"/>
              <w:bottom w:type="dxa" w:w="80"/>
              <w:right w:type="dxa" w:w="110"/>
            </w:tcMar>
            <w:vAlign w:val="top"/>
          </w:tcPr>
          <w:p>
            <w:pPr>
              <w:spacing w:after="0" w:line="258"/>
            </w:pPr>
            <w:r>
              <w:rPr>
                <w:sz w:val="20"/>
                <w:szCs w:val="20"/>
              </w:rPr>
              <w:t xml:space="preserve">A correlation ID drops across an async Service Bus hop, so a given answer can’t be fully reconstructed — which fails FDA/EMA audit and hides the root cause of a bad output.</w:t>
            </w:r>
          </w:p>
        </w:tc>
        <w:tc>
          <w:tcPr>
            <w:tcW w:type="dxa" w:w="3140"/>
            <w:tcBorders>
              <w:top w:val="single" w:color="C9D6E5" w:sz="1"/>
              <w:left w:val="single" w:color="C9D6E5" w:sz="1"/>
              <w:bottom w:val="single" w:color="C9D6E5" w:sz="1"/>
              <w:right w:val="single" w:color="C9D6E5" w:sz="1"/>
            </w:tcBorders>
            <w:shd w:fill="F2F6FB" w:val="clear"/>
            <w:tcMar>
              <w:top w:type="dxa" w:w="80"/>
              <w:left w:type="dxa" w:w="110"/>
              <w:bottom w:type="dxa" w:w="80"/>
              <w:right w:type="dxa" w:w="110"/>
            </w:tcMar>
            <w:vAlign w:val="top"/>
          </w:tcPr>
          <w:p>
            <w:pPr>
              <w:spacing w:after="0" w:line="258"/>
            </w:pPr>
            <w:r>
              <w:rPr>
                <w:sz w:val="20"/>
                <w:szCs w:val="20"/>
              </w:rPr>
              <w:t xml:space="preserve">Propagate correlation_id through message headers (not just HTTP); OTel context propagation across async boundaries; assert trace completeness in tests; one Cosmos audit record per decision.</w:t>
            </w:r>
          </w:p>
        </w:tc>
      </w:tr>
    </w:tbl>
    <w:p>
      <w:pPr>
        <w:pStyle w:val="Heading2"/>
      </w:pPr>
      <w:r>
        <w:t xml:space="preserve">The patterns underneath</w:t>
      </w:r>
    </w:p>
    <w:p>
      <w:pPr>
        <w:pStyle w:val="ListParagraph"/>
        <w:numPr>
          <w:ilvl w:val="0"/>
          <w:numId w:val="2"/>
        </w:numPr>
        <w:spacing w:after="80" w:line="270"/>
      </w:pPr>
      <w:r>
        <w:rPr>
          <w:b/>
          <w:bCs/>
          <w:i w:val="false"/>
          <w:iCs w:val="false"/>
          <w:color w:val="B45309"/>
        </w:rPr>
        <w:t xml:space="preserve">Latency </w:t>
      </w:r>
      <w:r>
        <w:t xml:space="preserve">clusters around synchronous critical-path dependencies — the fix is almost always to make work asynchronous, parallel, or predictive.</w:t>
      </w:r>
    </w:p>
    <w:p>
      <w:pPr>
        <w:pStyle w:val="ListParagraph"/>
        <w:numPr>
          <w:ilvl w:val="0"/>
          <w:numId w:val="2"/>
        </w:numPr>
        <w:spacing w:after="80" w:line="270"/>
      </w:pPr>
      <w:r>
        <w:rPr>
          <w:b/>
          <w:bCs/>
          <w:i w:val="false"/>
          <w:iCs w:val="false"/>
          <w:color w:val="2E75B6"/>
        </w:rPr>
        <w:t xml:space="preserve">Integration </w:t>
      </w:r>
      <w:r>
        <w:t xml:space="preserve">failures are versioning and coordination drift — the fix is versioned contracts, blue/green swaps, and dead-letter capture.</w:t>
      </w:r>
    </w:p>
    <w:p>
      <w:pPr>
        <w:pStyle w:val="ListParagraph"/>
        <w:numPr>
          <w:ilvl w:val="0"/>
          <w:numId w:val="2"/>
        </w:numPr>
        <w:spacing w:after="80" w:line="270"/>
      </w:pPr>
      <w:r>
        <w:rPr>
          <w:b/>
          <w:bCs/>
          <w:i w:val="false"/>
          <w:iCs w:val="false"/>
          <w:color w:val="B91C1C"/>
        </w:rPr>
        <w:t xml:space="preserve">Hallucination </w:t>
      </w:r>
      <w:r>
        <w:t xml:space="preserve">is an observability problem first and a prompting problem second — you catch it with retrieval-confidence floors, a completeness metric, and complete traces; confabulation on thin retrieval is monitored, not declared solved.</w:t>
      </w:r>
    </w:p>
    <w:p>
      <w:r>
        <w:br w:type="page"/>
      </w:r>
    </w:p>
    <w:p>
      <w:pPr>
        <w:pStyle w:val="Heading1"/>
      </w:pPr>
      <w:r>
        <w:t xml:space="preserve">9. The Differentiator &amp; Closing Narrative</w:t>
      </w:r>
    </w:p>
    <w:p>
      <w:pPr>
        <w:spacing w:after="160" w:line="276"/>
      </w:pPr>
      <w:r>
        <w:rPr>
          <w:b w:val="false"/>
          <w:bCs w:val="false"/>
          <w:i w:val="false"/>
          <w:iCs w:val="false"/>
        </w:rPr>
        <w:t xml:space="preserve">The single strongest thread to pull in any interview is that you have shipped production multi-agent AI across three regulated environments — a combination very few engineers can claim.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C9D6E5" w:sz="1"/>
              <w:left w:val="single" w:color="C9D6E5" w:sz="1"/>
              <w:bottom w:val="single" w:color="C9D6E5" w:sz="1"/>
              <w:right w:val="single" w:color="C9D6E5" w:sz="1"/>
            </w:tcBorders>
            <w:shd w:fill="1F3864" w:val="clear"/>
            <w:tcMar>
              <w:top w:type="dxa" w:w="80"/>
              <w:left w:type="dxa" w:w="120"/>
              <w:bottom w:type="dxa" w:w="80"/>
              <w:right w:type="dxa" w:w="120"/>
            </w:tcMar>
            <w:vAlign w:val="center"/>
          </w:tcPr>
          <w:p>
            <w:pPr>
              <w:spacing w:after="0" w:line="264"/>
            </w:pPr>
            <w:r>
              <w:rPr>
                <w:b/>
                <w:bCs/>
                <w:color w:val="FFFFFF"/>
              </w:rPr>
              <w:t xml:space="preserve">Environment</w:t>
            </w:r>
          </w:p>
        </w:tc>
        <w:tc>
          <w:tcPr>
            <w:tcW w:type="dxa" w:w="3480"/>
            <w:tcBorders>
              <w:top w:val="single" w:color="C9D6E5" w:sz="1"/>
              <w:left w:val="single" w:color="C9D6E5" w:sz="1"/>
              <w:bottom w:val="single" w:color="C9D6E5" w:sz="1"/>
              <w:right w:val="single" w:color="C9D6E5" w:sz="1"/>
            </w:tcBorders>
            <w:shd w:fill="1F3864" w:val="clear"/>
            <w:tcMar>
              <w:top w:type="dxa" w:w="80"/>
              <w:left w:type="dxa" w:w="120"/>
              <w:bottom w:type="dxa" w:w="80"/>
              <w:right w:type="dxa" w:w="120"/>
            </w:tcMar>
            <w:vAlign w:val="center"/>
          </w:tcPr>
          <w:p>
            <w:pPr>
              <w:spacing w:after="0" w:line="264"/>
            </w:pPr>
            <w:r>
              <w:rPr>
                <w:b/>
                <w:bCs/>
                <w:color w:val="FFFFFF"/>
              </w:rPr>
              <w:t xml:space="preserve">Regulatory frame</w:t>
            </w:r>
          </w:p>
        </w:tc>
        <w:tc>
          <w:tcPr>
            <w:tcW w:type="dxa" w:w="3480"/>
            <w:tcBorders>
              <w:top w:val="single" w:color="C9D6E5" w:sz="1"/>
              <w:left w:val="single" w:color="C9D6E5" w:sz="1"/>
              <w:bottom w:val="single" w:color="C9D6E5" w:sz="1"/>
              <w:right w:val="single" w:color="C9D6E5" w:sz="1"/>
            </w:tcBorders>
            <w:shd w:fill="1F3864" w:val="clear"/>
            <w:tcMar>
              <w:top w:type="dxa" w:w="80"/>
              <w:left w:type="dxa" w:w="120"/>
              <w:bottom w:type="dxa" w:w="80"/>
              <w:right w:type="dxa" w:w="120"/>
            </w:tcMar>
            <w:vAlign w:val="center"/>
          </w:tcPr>
          <w:p>
            <w:pPr>
              <w:spacing w:after="0" w:line="264"/>
            </w:pPr>
            <w:r>
              <w:rPr>
                <w:b/>
                <w:bCs/>
                <w:color w:val="FFFFFF"/>
              </w:rPr>
              <w:t xml:space="preserve">What it taught you</w:t>
            </w:r>
          </w:p>
        </w:tc>
      </w:tr>
      <w:tr>
        <w:tc>
          <w:tcPr>
            <w:tcW w:type="dxa" w:w="2400"/>
            <w:tcBorders>
              <w:top w:val="single" w:color="C9D6E5" w:sz="1"/>
              <w:left w:val="single" w:color="C9D6E5" w:sz="1"/>
              <w:bottom w:val="single" w:color="C9D6E5" w:sz="1"/>
              <w:right w:val="single" w:color="C9D6E5" w:sz="1"/>
            </w:tcBorders>
            <w:shd w:fill="FFFFFF" w:val="clear"/>
            <w:tcMar>
              <w:top w:type="dxa" w:w="80"/>
              <w:left w:type="dxa" w:w="120"/>
              <w:bottom w:type="dxa" w:w="80"/>
              <w:right w:type="dxa" w:w="120"/>
            </w:tcMar>
            <w:vAlign w:val="center"/>
          </w:tcPr>
          <w:p>
            <w:pPr>
              <w:spacing w:after="0" w:line="264"/>
            </w:pPr>
            <w:r>
              <w:rPr>
                <w:b w:val="false"/>
                <w:bCs w:val="false"/>
              </w:rPr>
              <w:t xml:space="preserve">Aon (Actuarial Analyst)</w:t>
            </w:r>
          </w:p>
        </w:tc>
        <w:tc>
          <w:tcPr>
            <w:tcW w:type="dxa" w:w="3480"/>
            <w:tcBorders>
              <w:top w:val="single" w:color="C9D6E5" w:sz="1"/>
              <w:left w:val="single" w:color="C9D6E5" w:sz="1"/>
              <w:bottom w:val="single" w:color="C9D6E5" w:sz="1"/>
              <w:right w:val="single" w:color="C9D6E5" w:sz="1"/>
            </w:tcBorders>
            <w:shd w:fill="FFFFFF" w:val="clear"/>
            <w:tcMar>
              <w:top w:type="dxa" w:w="80"/>
              <w:left w:type="dxa" w:w="120"/>
              <w:bottom w:type="dxa" w:w="80"/>
              <w:right w:type="dxa" w:w="120"/>
            </w:tcMar>
            <w:vAlign w:val="center"/>
          </w:tcPr>
          <w:p>
            <w:pPr>
              <w:spacing w:after="0" w:line="264"/>
            </w:pPr>
            <w:r>
              <w:rPr>
                <w:b w:val="false"/>
                <w:bCs w:val="false"/>
              </w:rPr>
              <w:t xml:space="preserve">Actuarial governance</w:t>
            </w:r>
          </w:p>
        </w:tc>
        <w:tc>
          <w:tcPr>
            <w:tcW w:type="dxa" w:w="3480"/>
            <w:tcBorders>
              <w:top w:val="single" w:color="C9D6E5" w:sz="1"/>
              <w:left w:val="single" w:color="C9D6E5" w:sz="1"/>
              <w:bottom w:val="single" w:color="C9D6E5" w:sz="1"/>
              <w:right w:val="single" w:color="C9D6E5" w:sz="1"/>
            </w:tcBorders>
            <w:shd w:fill="FFFFFF" w:val="clear"/>
            <w:tcMar>
              <w:top w:type="dxa" w:w="80"/>
              <w:left w:type="dxa" w:w="120"/>
              <w:bottom w:type="dxa" w:w="80"/>
              <w:right w:type="dxa" w:w="120"/>
            </w:tcMar>
            <w:vAlign w:val="center"/>
          </w:tcPr>
          <w:p>
            <w:pPr>
              <w:spacing w:after="0" w:line="264"/>
            </w:pPr>
            <w:r>
              <w:rPr>
                <w:b w:val="false"/>
                <w:bCs w:val="false"/>
              </w:rPr>
              <w:t xml:space="preserve">Quantitative rigor and how regulated numbers get signed off</w:t>
            </w:r>
          </w:p>
        </w:tc>
      </w:tr>
      <w:tr>
        <w:tc>
          <w:tcPr>
            <w:tcW w:type="dxa" w:w="2400"/>
            <w:tcBorders>
              <w:top w:val="single" w:color="C9D6E5" w:sz="1"/>
              <w:left w:val="single" w:color="C9D6E5" w:sz="1"/>
              <w:bottom w:val="single" w:color="C9D6E5" w:sz="1"/>
              <w:right w:val="single" w:color="C9D6E5" w:sz="1"/>
            </w:tcBorders>
            <w:shd w:fill="F2F6FB" w:val="clear"/>
            <w:tcMar>
              <w:top w:type="dxa" w:w="80"/>
              <w:left w:type="dxa" w:w="120"/>
              <w:bottom w:type="dxa" w:w="80"/>
              <w:right w:type="dxa" w:w="120"/>
            </w:tcMar>
            <w:vAlign w:val="center"/>
          </w:tcPr>
          <w:p>
            <w:pPr>
              <w:spacing w:after="0" w:line="264"/>
            </w:pPr>
            <w:r>
              <w:rPr>
                <w:b w:val="false"/>
                <w:bCs w:val="false"/>
              </w:rPr>
              <w:t xml:space="preserve">Citibank (MLOps Engineer)</w:t>
            </w:r>
          </w:p>
        </w:tc>
        <w:tc>
          <w:tcPr>
            <w:tcW w:type="dxa" w:w="3480"/>
            <w:tcBorders>
              <w:top w:val="single" w:color="C9D6E5" w:sz="1"/>
              <w:left w:val="single" w:color="C9D6E5" w:sz="1"/>
              <w:bottom w:val="single" w:color="C9D6E5" w:sz="1"/>
              <w:right w:val="single" w:color="C9D6E5" w:sz="1"/>
            </w:tcBorders>
            <w:shd w:fill="F2F6FB" w:val="clear"/>
            <w:tcMar>
              <w:top w:type="dxa" w:w="80"/>
              <w:left w:type="dxa" w:w="120"/>
              <w:bottom w:type="dxa" w:w="80"/>
              <w:right w:type="dxa" w:w="120"/>
            </w:tcMar>
            <w:vAlign w:val="center"/>
          </w:tcPr>
          <w:p>
            <w:pPr>
              <w:spacing w:after="0" w:line="264"/>
            </w:pPr>
            <w:r>
              <w:rPr>
                <w:b w:val="false"/>
                <w:bCs w:val="false"/>
              </w:rPr>
              <w:t xml:space="preserve">SR 11-7 banking model risk</w:t>
            </w:r>
          </w:p>
        </w:tc>
        <w:tc>
          <w:tcPr>
            <w:tcW w:type="dxa" w:w="3480"/>
            <w:tcBorders>
              <w:top w:val="single" w:color="C9D6E5" w:sz="1"/>
              <w:left w:val="single" w:color="C9D6E5" w:sz="1"/>
              <w:bottom w:val="single" w:color="C9D6E5" w:sz="1"/>
              <w:right w:val="single" w:color="C9D6E5" w:sz="1"/>
            </w:tcBorders>
            <w:shd w:fill="F2F6FB" w:val="clear"/>
            <w:tcMar>
              <w:top w:type="dxa" w:w="80"/>
              <w:left w:type="dxa" w:w="120"/>
              <w:bottom w:type="dxa" w:w="80"/>
              <w:right w:type="dxa" w:w="120"/>
            </w:tcMar>
            <w:vAlign w:val="center"/>
          </w:tcPr>
          <w:p>
            <w:pPr>
              <w:spacing w:after="0" w:line="264"/>
            </w:pPr>
            <w:r>
              <w:rPr>
                <w:b w:val="false"/>
                <w:bCs w:val="false"/>
              </w:rPr>
              <w:t xml:space="preserve">Model validation, model risk management, production ML discipline</w:t>
            </w:r>
          </w:p>
        </w:tc>
      </w:tr>
      <w:tr>
        <w:tc>
          <w:tcPr>
            <w:tcW w:type="dxa" w:w="2400"/>
            <w:tcBorders>
              <w:top w:val="single" w:color="C9D6E5" w:sz="1"/>
              <w:left w:val="single" w:color="C9D6E5" w:sz="1"/>
              <w:bottom w:val="single" w:color="C9D6E5" w:sz="1"/>
              <w:right w:val="single" w:color="C9D6E5" w:sz="1"/>
            </w:tcBorders>
            <w:shd w:fill="FFFFFF" w:val="clear"/>
            <w:tcMar>
              <w:top w:type="dxa" w:w="80"/>
              <w:left w:type="dxa" w:w="120"/>
              <w:bottom w:type="dxa" w:w="80"/>
              <w:right w:type="dxa" w:w="120"/>
            </w:tcMar>
            <w:vAlign w:val="center"/>
          </w:tcPr>
          <w:p>
            <w:pPr>
              <w:spacing w:after="0" w:line="264"/>
            </w:pPr>
            <w:r>
              <w:rPr>
                <w:b w:val="false"/>
                <w:bCs w:val="false"/>
              </w:rPr>
              <w:t xml:space="preserve">Johnson &amp; Johnson (Lead GenAI)</w:t>
            </w:r>
          </w:p>
        </w:tc>
        <w:tc>
          <w:tcPr>
            <w:tcW w:type="dxa" w:w="3480"/>
            <w:tcBorders>
              <w:top w:val="single" w:color="C9D6E5" w:sz="1"/>
              <w:left w:val="single" w:color="C9D6E5" w:sz="1"/>
              <w:bottom w:val="single" w:color="C9D6E5" w:sz="1"/>
              <w:right w:val="single" w:color="C9D6E5" w:sz="1"/>
            </w:tcBorders>
            <w:shd w:fill="FFFFFF" w:val="clear"/>
            <w:tcMar>
              <w:top w:type="dxa" w:w="80"/>
              <w:left w:type="dxa" w:w="120"/>
              <w:bottom w:type="dxa" w:w="80"/>
              <w:right w:type="dxa" w:w="120"/>
            </w:tcMar>
            <w:vAlign w:val="center"/>
          </w:tcPr>
          <w:p>
            <w:pPr>
              <w:spacing w:after="0" w:line="264"/>
            </w:pPr>
            <w:r>
              <w:rPr>
                <w:b w:val="false"/>
                <w:bCs w:val="false"/>
              </w:rPr>
              <w:t xml:space="preserve">FDA / EMA / GxP pharma</w:t>
            </w:r>
          </w:p>
        </w:tc>
        <w:tc>
          <w:tcPr>
            <w:tcW w:type="dxa" w:w="3480"/>
            <w:tcBorders>
              <w:top w:val="single" w:color="C9D6E5" w:sz="1"/>
              <w:left w:val="single" w:color="C9D6E5" w:sz="1"/>
              <w:bottom w:val="single" w:color="C9D6E5" w:sz="1"/>
              <w:right w:val="single" w:color="C9D6E5" w:sz="1"/>
            </w:tcBorders>
            <w:shd w:fill="FFFFFF" w:val="clear"/>
            <w:tcMar>
              <w:top w:type="dxa" w:w="80"/>
              <w:left w:type="dxa" w:w="120"/>
              <w:bottom w:type="dxa" w:w="80"/>
              <w:right w:type="dxa" w:w="120"/>
            </w:tcMar>
            <w:vAlign w:val="center"/>
          </w:tcPr>
          <w:p>
            <w:pPr>
              <w:spacing w:after="0" w:line="264"/>
            </w:pPr>
            <w:r>
              <w:rPr>
                <w:b w:val="false"/>
                <w:bCs w:val="false"/>
              </w:rPr>
              <w:t xml:space="preserve">Grounded, auditable, validated generative AI at production scale</w:t>
            </w:r>
          </w:p>
        </w:tc>
      </w:tr>
    </w:tbl>
    <w:p>
      <w:pPr>
        <w:spacing w:after="80"/>
      </w:pPr>
      <w:r>
        <w:t xml:space="preserve"/>
      </w:r>
    </w:p>
    <w:tbl>
      <w:tblPr>
        <w:tblW w:type="dxa" w:w="9360"/>
        <w:tblBorders>
          <w:top w:val="single" w:color="F4F8FC" w:sz="1"/>
          <w:left w:val="single" w:color="2E8B8B" w:sz="24"/>
          <w:bottom w:val="single" w:color="F4F8FC" w:sz="1"/>
          <w:right w:val="single" w:color="F4F8FC" w:sz="1"/>
          <w:insideH w:val="single" w:color="auto" w:sz="4"/>
          <w:insideV w:val="single" w:color="auto" w:sz="4"/>
        </w:tblBorders>
      </w:tblPr>
      <w:tblGrid>
        <w:gridCol w:w="9360"/>
      </w:tblGrid>
      <w:tr>
        <w:tc>
          <w:tcPr>
            <w:tcW w:type="dxa" w:w="9360"/>
            <w:shd w:fill="F4F8FC" w:val="clear"/>
            <w:tcMar>
              <w:top w:type="dxa" w:w="120"/>
              <w:left w:type="dxa" w:w="200"/>
              <w:bottom w:type="dxa" w:w="120"/>
              <w:right w:type="dxa" w:w="200"/>
            </w:tcMar>
          </w:tcPr>
          <w:p>
            <w:pPr>
              <w:spacing w:after="60"/>
            </w:pPr>
            <w:r>
              <w:rPr>
                <w:b/>
                <w:bCs/>
                <w:color w:val="1F3864"/>
              </w:rPr>
              <w:t xml:space="preserve">The closing line</w:t>
            </w:r>
          </w:p>
          <w:p>
            <w:r>
              <w:t xml:space="preserve">“The reason this platform shipped and stuck isn’t that I picked GPT-4o — anyone can. It’s that I’ve spent my whole career in places where being wrong has consequences, so I build evaluation, traceability, and governance in from day one. That’s the same instinct I’d bring here.”</w:t>
            </w:r>
          </w:p>
        </w:tc>
      </w:tr>
    </w:tbl>
    <w:p>
      <w:pPr>
        <w:pStyle w:val="Heading2"/>
      </w:pPr>
      <w:r>
        <w:t xml:space="preserve">Headline numbers to keep on the tip of your tongue</w:t>
      </w:r>
    </w:p>
    <w:p>
      <w:pPr>
        <w:pStyle w:val="ListParagraph"/>
        <w:numPr>
          <w:ilvl w:val="0"/>
          <w:numId w:val="2"/>
        </w:numPr>
        <w:spacing w:after="80" w:line="270"/>
      </w:pPr>
      <w:r>
        <w:rPr>
          <w:b/>
          <w:bCs/>
          <w:i w:val="false"/>
          <w:iCs w:val="false"/>
          <w:color w:val="1F3864"/>
        </w:rPr>
        <w:t xml:space="preserve">10,000+ </w:t>
      </w:r>
      <w:r>
        <w:t xml:space="preserve">internal scientific documents served</w:t>
      </w:r>
    </w:p>
    <w:p>
      <w:pPr>
        <w:pStyle w:val="ListParagraph"/>
        <w:numPr>
          <w:ilvl w:val="0"/>
          <w:numId w:val="2"/>
        </w:numPr>
        <w:spacing w:after="80" w:line="270"/>
      </w:pPr>
      <w:r>
        <w:rPr>
          <w:b/>
          <w:bCs/>
          <w:i w:val="false"/>
          <w:iCs w:val="false"/>
          <w:color w:val="1F3864"/>
        </w:rPr>
        <w:t xml:space="preserve">22% </w:t>
      </w:r>
      <w:r>
        <w:t xml:space="preserve">improvement in research/safety turnaround</w:t>
      </w:r>
    </w:p>
    <w:p>
      <w:pPr>
        <w:pStyle w:val="ListParagraph"/>
        <w:numPr>
          <w:ilvl w:val="0"/>
          <w:numId w:val="2"/>
        </w:numPr>
        <w:spacing w:after="80" w:line="270"/>
      </w:pPr>
      <w:r>
        <w:rPr>
          <w:b/>
          <w:bCs/>
          <w:i w:val="false"/>
          <w:iCs w:val="false"/>
          <w:color w:val="1F3864"/>
        </w:rPr>
        <w:t xml:space="preserve">~18% </w:t>
      </w:r>
      <w:r>
        <w:t xml:space="preserve">reduction in hallucination</w:t>
      </w:r>
    </w:p>
    <w:p>
      <w:pPr>
        <w:pStyle w:val="ListParagraph"/>
        <w:numPr>
          <w:ilvl w:val="0"/>
          <w:numId w:val="2"/>
        </w:numPr>
        <w:spacing w:after="80" w:line="270"/>
      </w:pPr>
      <w:r>
        <w:rPr>
          <w:b/>
          <w:bCs/>
          <w:i w:val="false"/>
          <w:iCs w:val="false"/>
          <w:color w:val="1F3864"/>
        </w:rPr>
        <w:t xml:space="preserve">120 </w:t>
      </w:r>
      <w:r>
        <w:t xml:space="preserve">concurrent AKS sessions at p95 &lt; 900 ms</w:t>
      </w:r>
    </w:p>
    <w:p>
      <w:pPr>
        <w:pStyle w:val="ListParagraph"/>
        <w:numPr>
          <w:ilvl w:val="0"/>
          <w:numId w:val="2"/>
        </w:numPr>
        <w:spacing w:after="80" w:line="270"/>
      </w:pPr>
      <w:r>
        <w:rPr>
          <w:b/>
          <w:bCs/>
          <w:i w:val="false"/>
          <w:iCs w:val="false"/>
          <w:color w:val="1F3864"/>
        </w:rPr>
        <w:t xml:space="preserve">84% → 97%+ </w:t>
      </w:r>
      <w:r>
        <w:t xml:space="preserve">routing accuracy after the LLM-as-Orchestrator pivot</w:t>
      </w:r>
    </w:p>
    <w:p>
      <w:pPr>
        <w:pStyle w:val="ListParagraph"/>
        <w:numPr>
          <w:ilvl w:val="0"/>
          <w:numId w:val="2"/>
        </w:numPr>
        <w:spacing w:after="80" w:line="270"/>
      </w:pPr>
      <w:r>
        <w:rPr>
          <w:b/>
          <w:bCs/>
          <w:i w:val="false"/>
          <w:iCs w:val="false"/>
          <w:color w:val="1F3864"/>
        </w:rPr>
        <w:t xml:space="preserve">6 agents / 15 tools </w:t>
      </w:r>
      <w:r>
        <w:t xml:space="preserve">(orchestrator + 5 specialists)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spacing w:before="0"/>
    </w:pPr>
    <w:r>
      <w:rPr>
        <w:color w:val="5A5A5A"/>
        <w:sz w:val="16"/>
        <w:szCs w:val="16"/>
      </w:rPr>
      <w:t xml:space="preserve">Confidential — personal interview prep</w:t>
    </w:r>
    <w:r>
      <w:rPr>
        <w:color w:val="5A5A5A"/>
        <w:sz w:val="16"/>
        <w:szCs w:val="16"/>
      </w:rPr>
      <w:t xml:space="preserve">	Page </w:t>
    </w:r>
    <w:r>
      <w:rPr>
        <w:color w:val="5A5A5A"/>
        <w:sz w:val="16"/>
        <w:szCs w:val="16"/>
      </w:rPr>
      <w:fldChar w:fldCharType="begin"/>
      <w:instrText xml:space="preserve">PAGE</w:instrText>
      <w:fldChar w:fldCharType="separate"/>
      <w:fldChar w:fldCharType="end"/>
    </w:r>
    <w:r>
      <w:rPr>
        <w:color w:val="5A5A5A"/>
        <w:sz w:val="16"/>
        <w:szCs w:val="16"/>
      </w:rPr>
      <w:t xml:space="preserve"> of </w:t>
    </w:r>
    <w:r>
      <w:rPr>
        <w:color w:val="5A5A5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6E5" w:sz="4" w:space="2"/>
      </w:pBdr>
      <w:tabs>
        <w:tab w:val="right" w:pos="9026"/>
      </w:tabs>
      <w:spacing w:after="0"/>
    </w:pPr>
    <w:r>
      <w:rPr>
        <w:color w:val="5A5A5A"/>
        <w:sz w:val="16"/>
        <w:szCs w:val="16"/>
      </w:rPr>
      <w:t xml:space="preserve">J&amp;J Multi-Agent Platform</w:t>
    </w:r>
    <w:r>
      <w:rPr>
        <w:color w:val="5A5A5A"/>
        <w:sz w:val="16"/>
        <w:szCs w:val="16"/>
      </w:rPr>
      <w:t xml:space="preserve">	Interview Narrative &amp; Technical Master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280"/>
      </w:pPr>
    </w:lvl>
  </w:abstractNum>
  <w:abstractNum w:abstractNumId="3" w15:restartNumberingAfterBreak="0">
    <w:multiLevelType w:val="hybridMultilevel"/>
    <w:lvl w:ilvl="0" w15:tentative="1">
      <w:start w:val="1"/>
      <w:numFmt w:val="decimal"/>
      <w:lvlText w:val="%1."/>
      <w:lvlJc w:val="left"/>
      <w:pPr>
        <w:ind w:left="60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20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60"/>
      <w:outlineLvl w:val="2"/>
    </w:pPr>
    <w:rPr>
      <w:rFonts w:ascii="Arial" w:cs="Arial" w:eastAsia="Arial" w:hAnsi="Arial"/>
      <w:b/>
      <w:bCs/>
      <w:color w:val="2E8B8B"/>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J&amp;J Multi-Agent Platform — PoC to MVP to Production</dc:title>
  <dc:creator>Oswald</dc:creator>
  <cp:lastModifiedBy>Un-named</cp:lastModifiedBy>
  <cp:revision>1</cp:revision>
  <dcterms:created xsi:type="dcterms:W3CDTF">2026-06-02T15:03:01.893Z</dcterms:created>
  <dcterms:modified xsi:type="dcterms:W3CDTF">2026-06-02T15:03:01.907Z</dcterms:modified>
</cp:coreProperties>
</file>

<file path=docProps/custom.xml><?xml version="1.0" encoding="utf-8"?>
<Properties xmlns="http://schemas.openxmlformats.org/officeDocument/2006/custom-properties" xmlns:vt="http://schemas.openxmlformats.org/officeDocument/2006/docPropsVTypes"/>
</file>