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53.png" ContentType="image/png"/>
  <Override PartName="/word/media/rId48.png" ContentType="image/png"/>
  <Override PartName="/word/media/rId6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VESTA:</w:t>
      </w:r>
      <w:r>
        <w:t xml:space="preserve"> </w:t>
      </w:r>
      <w:r>
        <w:t xml:space="preserve">Time-Budgeted</w:t>
      </w:r>
      <w:r>
        <w:t xml:space="preserve"> </w:t>
      </w:r>
      <w:r>
        <w:t xml:space="preserve">Multimodal</w:t>
      </w:r>
      <w:r>
        <w:t xml:space="preserve"> </w:t>
      </w:r>
      <w:r>
        <w:t xml:space="preserve">Agents</w:t>
      </w:r>
      <w:r>
        <w:t xml:space="preserve"> </w:t>
      </w:r>
      <w:r>
        <w:t xml:space="preserve">for</w:t>
      </w:r>
      <w:r>
        <w:t xml:space="preserve"> </w:t>
      </w:r>
      <w:r>
        <w:t xml:space="preserve">Retail</w:t>
      </w:r>
      <w:r>
        <w:t xml:space="preserve"> </w:t>
      </w:r>
      <w:r>
        <w:t xml:space="preserve">Financial</w:t>
      </w:r>
      <w:r>
        <w:t xml:space="preserve"> </w:t>
      </w:r>
      <w:r>
        <w:t xml:space="preserve">Decision</w:t>
      </w:r>
      <w:r>
        <w:t xml:space="preserve"> </w:t>
      </w:r>
      <w:r>
        <w:t xml:space="preserve">Support</w:t>
      </w:r>
    </w:p>
    <w:p>
      <w:pPr>
        <w:pStyle w:val="Author"/>
      </w:pPr>
      <w:r>
        <w:t xml:space="preserve">Peri</w:t>
      </w:r>
      <w:r>
        <w:t xml:space="preserve"> </w:t>
      </w:r>
      <w:r>
        <w:t xml:space="preserve">Gunes</w:t>
      </w:r>
    </w:p>
    <w:p>
      <w:pPr>
        <w:pStyle w:val="Author"/>
      </w:pPr>
      <w:r>
        <w:t xml:space="preserve">Ozge</w:t>
      </w:r>
      <w:r>
        <w:t xml:space="preserve"> </w:t>
      </w:r>
      <w:r>
        <w:t xml:space="preserve">Zelal</w:t>
      </w:r>
      <w:r>
        <w:t xml:space="preserve"> </w:t>
      </w:r>
      <w:r>
        <w:t xml:space="preserve">Kucuk</w:t>
      </w:r>
    </w:p>
    <w:p>
      <w:pPr>
        <w:pStyle w:val="Author"/>
      </w:pPr>
      <w:r>
        <w:t xml:space="preserve">Harun</w:t>
      </w:r>
      <w:r>
        <w:t xml:space="preserve"> </w:t>
      </w:r>
      <w:r>
        <w:t xml:space="preserve">Benli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high-volatility</w:t>
      </w:r>
      <w:r>
        <w:t xml:space="preserve"> </w:t>
      </w:r>
      <w:r>
        <w:t xml:space="preserve">emerging</w:t>
      </w:r>
      <w:r>
        <w:t xml:space="preserve"> </w:t>
      </w:r>
      <w:r>
        <w:t xml:space="preserve">markets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Borsa</w:t>
      </w:r>
      <w:r>
        <w:t xml:space="preserve"> </w:t>
      </w:r>
      <w:r>
        <w:t xml:space="preserve">Istanbul</w:t>
      </w:r>
      <w:r>
        <w:t xml:space="preserve"> </w:t>
      </w:r>
      <w:r>
        <w:t xml:space="preserve">(BIST),</w:t>
      </w:r>
      <w:r>
        <w:t xml:space="preserve"> </w:t>
      </w:r>
      <w:r>
        <w:t xml:space="preserve">retail</w:t>
      </w:r>
      <w:r>
        <w:t xml:space="preserve"> </w:t>
      </w:r>
      <w:r>
        <w:t xml:space="preserve">investors</w:t>
      </w:r>
      <w:r>
        <w:t xml:space="preserve"> </w:t>
      </w:r>
      <w:r>
        <w:t xml:space="preserve">face</w:t>
      </w:r>
      <w:r>
        <w:t xml:space="preserve"> </w:t>
      </w:r>
      <w:r>
        <w:t xml:space="preserve">a</w:t>
      </w:r>
      <w:r>
        <w:t xml:space="preserve"> </w:t>
      </w:r>
      <w:r>
        <w:t xml:space="preserve">low</w:t>
      </w:r>
      <w:r>
        <w:t xml:space="preserve"> </w:t>
      </w:r>
      <w:r>
        <w:t xml:space="preserve">signal-to-noise</w:t>
      </w:r>
      <w:r>
        <w:t xml:space="preserve"> </w:t>
      </w:r>
      <w:r>
        <w:t xml:space="preserve">ratio</w:t>
      </w:r>
      <w:r>
        <w:t xml:space="preserve"> </w:t>
      </w:r>
      <w:r>
        <w:t xml:space="preserve">created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divergence</w:t>
      </w:r>
      <w:r>
        <w:t xml:space="preserve"> </w:t>
      </w:r>
      <w:r>
        <w:t xml:space="preserve">between</w:t>
      </w:r>
      <w:r>
        <w:t xml:space="preserve"> </w:t>
      </w:r>
      <w:r>
        <w:t xml:space="preserve">unstructured</w:t>
      </w:r>
      <w:r>
        <w:t xml:space="preserve"> </w:t>
      </w:r>
      <w:r>
        <w:t xml:space="preserve">disclosures</w:t>
      </w:r>
      <w:r>
        <w:t xml:space="preserve"> </w:t>
      </w:r>
      <w:r>
        <w:t xml:space="preserve">and</w:t>
      </w:r>
      <w:r>
        <w:t xml:space="preserve"> </w:t>
      </w:r>
      <w:r>
        <w:t xml:space="preserve">rapidly</w:t>
      </w:r>
      <w:r>
        <w:t xml:space="preserve"> </w:t>
      </w:r>
      <w:r>
        <w:t xml:space="preserve">changing</w:t>
      </w:r>
      <w:r>
        <w:t xml:space="preserve"> </w:t>
      </w:r>
      <w:r>
        <w:t xml:space="preserve">charts.</w:t>
      </w:r>
      <w:r>
        <w:t xml:space="preserve"> </w:t>
      </w:r>
      <w:r>
        <w:t xml:space="preserve">Existing</w:t>
      </w:r>
      <w:r>
        <w:t xml:space="preserve"> </w:t>
      </w:r>
      <w:r>
        <w:t xml:space="preserve">decision-support</w:t>
      </w:r>
      <w:r>
        <w:t xml:space="preserve"> </w:t>
      </w:r>
      <w:r>
        <w:t xml:space="preserve">systems</w:t>
      </w:r>
      <w:r>
        <w:t xml:space="preserve"> </w:t>
      </w:r>
      <w:r>
        <w:t xml:space="preserve">process</w:t>
      </w:r>
      <w:r>
        <w:t xml:space="preserve"> </w:t>
      </w:r>
      <w:r>
        <w:t xml:space="preserve">news</w:t>
      </w:r>
      <w:r>
        <w:t xml:space="preserve"> </w:t>
      </w:r>
      <w:r>
        <w:t xml:space="preserve">and</w:t>
      </w:r>
      <w:r>
        <w:t xml:space="preserve"> </w:t>
      </w:r>
      <w:r>
        <w:t xml:space="preserve">technical</w:t>
      </w:r>
      <w:r>
        <w:t xml:space="preserve"> </w:t>
      </w:r>
      <w:r>
        <w:t xml:space="preserve">pictures</w:t>
      </w:r>
      <w:r>
        <w:t xml:space="preserve"> </w:t>
      </w:r>
      <w:r>
        <w:t xml:space="preserve">independently,</w:t>
      </w:r>
      <w:r>
        <w:t xml:space="preserve"> </w:t>
      </w:r>
      <w:r>
        <w:t xml:space="preserve">and</w:t>
      </w:r>
      <w:r>
        <w:t xml:space="preserve"> </w:t>
      </w:r>
      <w:r>
        <w:t xml:space="preserve">they</w:t>
      </w:r>
      <w:r>
        <w:t xml:space="preserve"> </w:t>
      </w:r>
      <w:r>
        <w:t xml:space="preserve">ignore</w:t>
      </w:r>
      <w:r>
        <w:t xml:space="preserve"> </w:t>
      </w:r>
      <w:r>
        <w:t xml:space="preserve">the</w:t>
      </w:r>
      <w:r>
        <w:t xml:space="preserve"> </w:t>
      </w:r>
      <w:r>
        <w:t xml:space="preserve">investor’s</w:t>
      </w:r>
      <w:r>
        <w:t xml:space="preserve"> </w:t>
      </w:r>
      <w:r>
        <w:t xml:space="preserve">temporal</w:t>
      </w:r>
      <w:r>
        <w:t xml:space="preserve"> </w:t>
      </w:r>
      <w:r>
        <w:t xml:space="preserve">bandwidth: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briefing</w:t>
      </w:r>
      <w:r>
        <w:t xml:space="preserve"> </w:t>
      </w:r>
      <w:r>
        <w:t xml:space="preserve">is</w:t>
      </w:r>
      <w:r>
        <w:t xml:space="preserve"> </w:t>
      </w:r>
      <w:r>
        <w:t xml:space="preserve">delivered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user</w:t>
      </w:r>
      <w:r>
        <w:t xml:space="preserve"> </w:t>
      </w:r>
      <w:r>
        <w:t xml:space="preserve">has</w:t>
      </w:r>
      <w:r>
        <w:t xml:space="preserve"> </w:t>
      </w:r>
      <w:r>
        <w:t xml:space="preserve">one</w:t>
      </w:r>
      <w:r>
        <w:t xml:space="preserve"> </w:t>
      </w:r>
      <w:r>
        <w:t xml:space="preserve">minute</w:t>
      </w:r>
      <w:r>
        <w:t xml:space="preserve"> </w:t>
      </w:r>
      <w:r>
        <w:t xml:space="preserve">or</w:t>
      </w:r>
      <w:r>
        <w:t xml:space="preserve"> </w:t>
      </w:r>
      <w:r>
        <w:t xml:space="preserve">ten.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presents</w:t>
      </w:r>
      <w:r>
        <w:t xml:space="preserve"> </w:t>
      </w:r>
      <w:r>
        <w:t xml:space="preserve">VESTA,</w:t>
      </w:r>
      <w:r>
        <w:t xml:space="preserve"> </w:t>
      </w:r>
      <w:r>
        <w:t xml:space="preserve">a</w:t>
      </w:r>
      <w:r>
        <w:t xml:space="preserve"> </w:t>
      </w:r>
      <w:r>
        <w:t xml:space="preserve">three-layer</w:t>
      </w:r>
      <w:r>
        <w:t xml:space="preserve"> </w:t>
      </w:r>
      <w:r>
        <w:t xml:space="preserve">agentic</w:t>
      </w:r>
      <w:r>
        <w:t xml:space="preserve"> </w:t>
      </w:r>
      <w:r>
        <w:t xml:space="preserve">system</w:t>
      </w:r>
      <w:r>
        <w:t xml:space="preserve"> </w:t>
      </w:r>
      <w:r>
        <w:t xml:space="preserve">that</w:t>
      </w:r>
      <w:r>
        <w:t xml:space="preserve"> </w:t>
      </w:r>
      <w:r>
        <w:t xml:space="preserve">(i) retrieves</w:t>
      </w:r>
      <w:r>
        <w:t xml:space="preserve"> </w:t>
      </w:r>
      <w:r>
        <w:t xml:space="preserve">portfolio-conditioned</w:t>
      </w:r>
      <w:r>
        <w:t xml:space="preserve"> </w:t>
      </w:r>
      <w:r>
        <w:t xml:space="preserve">textual</w:t>
      </w:r>
      <w:r>
        <w:t xml:space="preserve"> </w:t>
      </w:r>
      <w:r>
        <w:t xml:space="preserve">evidence,</w:t>
      </w:r>
      <w:r>
        <w:t xml:space="preserve"> </w:t>
      </w:r>
      <w:r>
        <w:t xml:space="preserve">(ii) reads</w:t>
      </w:r>
      <w:r>
        <w:t xml:space="preserve"> </w:t>
      </w:r>
      <w:r>
        <w:t xml:space="preserve">candlestick</w:t>
      </w:r>
      <w:r>
        <w:t xml:space="preserve"> </w:t>
      </w:r>
      <w:r>
        <w:t xml:space="preserve">images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OHLCV</w:t>
      </w:r>
      <w:r>
        <w:t xml:space="preserve"> </w:t>
      </w:r>
      <w:r>
        <w:t xml:space="preserve">numbers,</w:t>
      </w:r>
      <w:r>
        <w:t xml:space="preserve"> </w:t>
      </w:r>
      <w:r>
        <w:t xml:space="preserve">and</w:t>
      </w:r>
      <w:r>
        <w:t xml:space="preserve"> </w:t>
      </w:r>
      <w:r>
        <w:t xml:space="preserve">(iii) spends</w:t>
      </w:r>
      <w:r>
        <w:t xml:space="preserve"> </w:t>
      </w:r>
      <w:r>
        <w:t xml:space="preserve">a</w:t>
      </w:r>
      <w:r>
        <w:t xml:space="preserve"> </w:t>
      </w:r>
      <w:r>
        <w:t xml:space="preserve">declared</w:t>
      </w:r>
      <w:r>
        <w:t xml:space="preserve"> </w:t>
      </w:r>
      <w:r>
        <w:t xml:space="preserve">1-,</w:t>
      </w:r>
      <w:r>
        <w:t xml:space="preserve"> </w:t>
      </w:r>
      <w:r>
        <w:t xml:space="preserve">3-,</w:t>
      </w:r>
      <w:r>
        <w:t xml:space="preserve"> </w:t>
      </w:r>
      <w:r>
        <w:t xml:space="preserve">or</w:t>
      </w:r>
      <w:r>
        <w:t xml:space="preserve"> </w:t>
      </w:r>
      <w:r>
        <w:t xml:space="preserve">10-minute</w:t>
      </w:r>
      <w:r>
        <w:t xml:space="preserve"> </w:t>
      </w:r>
      <w:r>
        <w:t xml:space="preserve">budget</w:t>
      </w:r>
      <w:r>
        <w:t xml:space="preserve"> </w:t>
      </w:r>
      <w:r>
        <w:t xml:space="preserve">by</w:t>
      </w:r>
      <w:r>
        <w:t xml:space="preserve"> </w:t>
      </w:r>
      <w:r>
        <w:t xml:space="preserve">changing</w:t>
      </w:r>
      <w:r>
        <w:t xml:space="preserve"> </w:t>
      </w:r>
      <w:r>
        <w:t xml:space="preserve">the</w:t>
      </w:r>
      <w:r>
        <w:t xml:space="preserve"> </w:t>
      </w:r>
      <w:r>
        <w:t xml:space="preserve">depth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agentic</w:t>
      </w:r>
      <w:r>
        <w:t xml:space="preserve"> </w:t>
      </w:r>
      <w:r>
        <w:t xml:space="preserve">chain.</w:t>
      </w:r>
      <w:r>
        <w:t xml:space="preserve"> </w:t>
      </w:r>
      <w:r>
        <w:t xml:space="preserve">The</w:t>
      </w:r>
      <w:r>
        <w:t xml:space="preserve"> </w:t>
      </w:r>
      <w:r>
        <w:t xml:space="preserve">contribution</w:t>
      </w:r>
      <w:r>
        <w:t xml:space="preserve"> </w:t>
      </w:r>
      <w:r>
        <w:t xml:space="preserve">is</w:t>
      </w:r>
      <w:r>
        <w:t xml:space="preserve"> </w:t>
      </w:r>
      <w:r>
        <w:t xml:space="preserve">this</w:t>
      </w:r>
      <w:r>
        <w:t xml:space="preserve"> </w:t>
      </w:r>
      <w:r>
        <w:t xml:space="preserve">briefing</w:t>
      </w:r>
      <w:r>
        <w:t xml:space="preserve"> </w:t>
      </w:r>
      <w:r>
        <w:t xml:space="preserve">stack</w:t>
      </w:r>
      <w:r>
        <w:t xml:space="preserve"> </w:t>
      </w:r>
      <w:r>
        <w:t xml:space="preserve">plus</w:t>
      </w:r>
      <w:r>
        <w:t xml:space="preserve"> </w:t>
      </w:r>
      <w:r>
        <w:t xml:space="preserve">an</w:t>
      </w:r>
      <w:r>
        <w:t xml:space="preserve"> </w:t>
      </w:r>
      <w:r>
        <w:t xml:space="preserve">evaluation</w:t>
      </w:r>
      <w:r>
        <w:t xml:space="preserve"> </w:t>
      </w:r>
      <w:r>
        <w:t xml:space="preserve">that</w:t>
      </w:r>
      <w:r>
        <w:t xml:space="preserve"> </w:t>
      </w:r>
      <w:r>
        <w:t xml:space="preserve">treats</w:t>
      </w:r>
      <w:r>
        <w:t xml:space="preserve"> </w:t>
      </w:r>
      <w:r>
        <w:t xml:space="preserve">the</w:t>
      </w:r>
      <w:r>
        <w:t xml:space="preserve"> </w:t>
      </w:r>
      <w:r>
        <w:t xml:space="preserve">user’s</w:t>
      </w:r>
      <w:r>
        <w:t xml:space="preserve"> </w:t>
      </w:r>
      <w:r>
        <w:t xml:space="preserve">minutes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compute</w:t>
      </w:r>
      <w:r>
        <w:t xml:space="preserve"> </w:t>
      </w:r>
      <w:r>
        <w:t xml:space="preserve">budget</w:t>
      </w:r>
      <w:r>
        <w:t xml:space="preserve"> </w:t>
      </w:r>
      <w:r>
        <w:t xml:space="preserve">and</w:t>
      </w:r>
      <w:r>
        <w:t xml:space="preserve"> </w:t>
      </w:r>
      <w:r>
        <w:t xml:space="preserve">measures</w:t>
      </w:r>
      <w:r>
        <w:t xml:space="preserve"> </w:t>
      </w:r>
      <w:r>
        <w:t xml:space="preserve">leakage,</w:t>
      </w:r>
      <w:r>
        <w:t xml:space="preserve"> </w:t>
      </w:r>
      <w:r>
        <w:t xml:space="preserve">per-tier</w:t>
      </w:r>
      <w:r>
        <w:t xml:space="preserve"> </w:t>
      </w:r>
      <w:r>
        <w:t xml:space="preserve">delivery,</w:t>
      </w:r>
      <w:r>
        <w:t xml:space="preserve"> </w:t>
      </w:r>
      <w:r>
        <w:t xml:space="preserve">and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buy-and-hold.</w:t>
      </w:r>
      <w:r>
        <w:t xml:space="preserve"> </w:t>
      </w:r>
      <w: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t xml:space="preserve">vision</w:t>
      </w:r>
      <w:r>
        <w:t xml:space="preserve"> </w:t>
      </w:r>
      <w:r>
        <w:t xml:space="preserve">class</w:t>
      </w:r>
      <w:r>
        <w:t xml:space="preserve"> </w:t>
      </w:r>
      <w:r>
        <w:t xml:space="preserve">scores</w:t>
      </w:r>
      <w:r>
        <w:t xml:space="preserve"> </w:t>
      </w:r>
      <w:r>
        <w:t xml:space="preserve">are</w:t>
      </w:r>
      <w:r>
        <w:t xml:space="preserve"> </w:t>
      </w:r>
      <w:r>
        <w:t xml:space="preserve">mixed</w:t>
      </w:r>
      <w:r>
        <w:t xml:space="preserve"> </w:t>
      </w:r>
      <w:r>
        <w:t xml:space="preserve">with</w:t>
      </w:r>
      <w:r>
        <w:t xml:space="preserve"> </w:t>
      </w:r>
      <w:r>
        <w:t xml:space="preserve">GMU,</w:t>
      </w:r>
      <w:r>
        <w:t xml:space="preserve"> </w:t>
      </w:r>
      <w:r>
        <w:t xml:space="preserve">tensor</w:t>
      </w:r>
      <w:r>
        <w:t xml:space="preserve"> </w:t>
      </w:r>
      <w:r>
        <w:t xml:space="preserve">fusion,</w:t>
      </w:r>
      <w:r>
        <w:t xml:space="preserve"> </w:t>
      </w:r>
      <w:r>
        <w:t xml:space="preserve">a</w:t>
      </w:r>
      <w:r>
        <w:t xml:space="preserve"> </w:t>
      </w:r>
      <w:r>
        <w:t xml:space="preserve">scalar</w:t>
      </w:r>
      <w:r>
        <w:t xml:space="preserve"> </w:t>
      </w:r>
      <w:r>
        <w:t xml:space="preserve">gate,</w:t>
      </w:r>
      <w:r>
        <w:t xml:space="preserve"> </w:t>
      </w:r>
      <w: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concat.</w:t>
      </w:r>
      <w:r>
        <w:t xml:space="preserve"> </w:t>
      </w:r>
      <w:r>
        <w:t xml:space="preserve">A</w:t>
      </w:r>
      <w:r>
        <w:t xml:space="preserve"> </w:t>
      </w:r>
      <w:r>
        <w:t xml:space="preserve">realized-volatility</w:t>
      </w:r>
      <w:r>
        <w:t xml:space="preserve"> </w:t>
      </w:r>
      <w:r>
        <w:t xml:space="preserve">flag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day’s</w:t>
      </w:r>
      <w:r>
        <w:t xml:space="preserve"> </w:t>
      </w:r>
      <w:r>
        <w:t xml:space="preserve">OHLCV</w:t>
      </w:r>
      <w:r>
        <w:t xml:space="preserve"> </w:t>
      </w:r>
      <w:r>
        <w:t xml:space="preserve">is</w:t>
      </w:r>
      <w:r>
        <w:t xml:space="preserve"> </w:t>
      </w:r>
      <w:r>
        <w:t xml:space="preserve">recovered</w:t>
      </w:r>
      <w:r>
        <w:t xml:space="preserve"> </w:t>
      </w:r>
      <w:r>
        <w:t xml:space="preserve">at</w:t>
      </w:r>
      <w:r>
        <w:t xml:space="preserve"> </w:t>
      </w:r>
      <w:r>
        <w:t xml:space="preserve">100%</w:t>
      </w:r>
      <w:r>
        <w:t xml:space="preserve"> </w:t>
      </w:r>
      <w:r>
        <w:t xml:space="preserve">F1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closed-form</w:t>
      </w:r>
      <w:r>
        <w:t xml:space="preserve"> </w:t>
      </w:r>
      <w:r>
        <w:t xml:space="preserve">rule,</w:t>
      </w:r>
      <w:r>
        <w:t xml:space="preserve"> </w:t>
      </w:r>
      <w:r>
        <w:t xml:space="preserve">so</w:t>
      </w:r>
      <w:r>
        <w:t xml:space="preserve"> </w:t>
      </w:r>
      <w:r>
        <w:t xml:space="preserve">the</w:t>
      </w:r>
      <w:r>
        <w:t xml:space="preserve"> </w:t>
      </w:r>
      <w:r>
        <w:t xml:space="preserve">headline</w:t>
      </w:r>
      <w:r>
        <w:t xml:space="preserve"> </w:t>
      </w:r>
      <w:r>
        <w:t xml:space="preserve">task</w:t>
      </w:r>
      <w:r>
        <w:t xml:space="preserve"> </w:t>
      </w:r>
      <w:r>
        <w:t xml:space="preserve">is</w:t>
      </w:r>
      <w:r>
        <w:t xml:space="preserve"> </w:t>
      </w:r>
      <w:r>
        <w:t xml:space="preserve">next-day</w:t>
      </w:r>
      <w:r>
        <w:t xml:space="preserve"> </w:t>
      </w:r>
      <w:r>
        <w:t xml:space="preserve">BIST100</w:t>
      </w:r>
      <w:r>
        <w:t xml:space="preserve"> </w:t>
      </w:r>
      <w:r>
        <w:t xml:space="preserve">direction.</w:t>
      </w:r>
      <w:r>
        <w:t xml:space="preserve"> </w:t>
      </w:r>
      <w:r>
        <w:t xml:space="preserve">On</w:t>
      </w:r>
      <w:r>
        <w:t xml:space="preserve"> </w:t>
      </w:r>
      <w:r>
        <w:t xml:space="preserve">public</w:t>
      </w:r>
      <w:r>
        <w:t xml:space="preserve"> </w:t>
      </w:r>
      <w:r>
        <w:t xml:space="preserve">BIST100</w:t>
      </w:r>
      <w:r>
        <w:t xml:space="preserve"> </w:t>
      </w:r>
      <w:r>
        <w:t xml:space="preserve">data</w:t>
      </w:r>
      <w:r>
        <w:t xml:space="preserve"> </w:t>
      </w:r>
      <w:r>
        <w:t xml:space="preserve">(2018-2026),</w:t>
      </w:r>
      <w:r>
        <w:t xml:space="preserve"> </w:t>
      </w:r>
      <w:r>
        <w:t xml:space="preserve">no</w:t>
      </w:r>
      <w:r>
        <w:t xml:space="preserve"> </w:t>
      </w:r>
      <w:r>
        <w:t xml:space="preserve">fusion</w:t>
      </w:r>
      <w:r>
        <w:t xml:space="preserve"> </w:t>
      </w:r>
      <w:r>
        <w:t xml:space="preserve">method</w:t>
      </w:r>
      <w:r>
        <w:t xml:space="preserve"> </w:t>
      </w:r>
      <w:r>
        <w:t xml:space="preserve">significantly</w:t>
      </w:r>
      <w:r>
        <w:t xml:space="preserve"> </w:t>
      </w:r>
      <w:r>
        <w:t xml:space="preserve">outperforms</w:t>
      </w:r>
      <w:r>
        <w:t xml:space="preserve"> </w:t>
      </w:r>
      <w:r>
        <w:t xml:space="preserve">GMU</w:t>
      </w:r>
      <w:r>
        <w:t xml:space="preserve"> </w:t>
      </w:r>
      <w:r>
        <w:t xml:space="preserve">(McNemar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0.46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seed</w:t>
      </w:r>
      <w:r>
        <w:t xml:space="preserve"> </w:t>
      </w:r>
      <w:r>
        <w:t xml:space="preserve">0).</w:t>
      </w:r>
      <w:r>
        <w:t xml:space="preserve"> </w:t>
      </w:r>
      <w:r>
        <w:t xml:space="preserve">Coverage,</w:t>
      </w:r>
      <w:r>
        <w:t xml:space="preserve"> </w:t>
      </w:r>
      <w:r>
        <w:t xml:space="preserve">declared</w:t>
      </w:r>
      <w:r>
        <w:t xml:space="preserve"> </w:t>
      </w:r>
      <w:r>
        <w:t xml:space="preserve">latency,</w:t>
      </w:r>
      <w:r>
        <w:t xml:space="preserve"> </w:t>
      </w:r>
      <w:r>
        <w:t xml:space="preserve">and</w:t>
      </w:r>
      <w:r>
        <w:t xml:space="preserve"> </w:t>
      </w:r>
      <w:r>
        <w:t xml:space="preserve">length-normalized</w:t>
      </w:r>
      <w:r>
        <w:t xml:space="preserve"> </w:t>
      </w:r>
      <w:r>
        <w:t xml:space="preserve">information</w:t>
      </w:r>
      <w:r>
        <w:t xml:space="preserve"> </w:t>
      </w:r>
      <w:r>
        <w:t xml:space="preserve">noise</w:t>
      </w:r>
      <w:r>
        <w:t xml:space="preserve"> </w:t>
      </w:r>
      <w:r>
        <w:t xml:space="preserve">vary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three</w:t>
      </w:r>
      <w:r>
        <w:t xml:space="preserve"> </w:t>
      </w:r>
      <w:r>
        <w:t xml:space="preserve">time</w:t>
      </w:r>
      <w:r>
        <w:t xml:space="preserve"> </w:t>
      </w:r>
      <w:r>
        <w:t xml:space="preserve">tiers.</w:t>
      </w:r>
      <w:r>
        <w:t xml:space="preserve"> </w:t>
      </w:r>
      <w:r>
        <w:t xml:space="preserve">A</w:t>
      </w:r>
      <w:r>
        <w:t xml:space="preserve"> </w:t>
      </w:r>
      <w:r>
        <w:t xml:space="preserve">paper-trading</w:t>
      </w:r>
      <w:r>
        <w:t xml:space="preserve"> </w:t>
      </w:r>
      <w:r>
        <w:t xml:space="preserve">overlay</w:t>
      </w:r>
      <w:r>
        <w:t xml:space="preserve"> </w:t>
      </w:r>
      <w:r>
        <w:t xml:space="preserve">on</w:t>
      </w:r>
      <w:r>
        <w:t xml:space="preserve"> </w:t>
      </w:r>
      <w:r>
        <w:t xml:space="preserve">seed-0</w:t>
      </w:r>
      <w:r>
        <w:t xml:space="preserve"> </w:t>
      </w:r>
      <w:r>
        <w:t xml:space="preserve">calls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beat</w:t>
      </w:r>
      <w:r>
        <w:t xml:space="preserve"> </w:t>
      </w:r>
      <w:r>
        <w:t xml:space="preserve">buy-and-hold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2025-2026</w:t>
      </w:r>
      <w:r>
        <w:t xml:space="preserve"> </w:t>
      </w:r>
      <w:r>
        <w:t xml:space="preserve">test</w:t>
      </w:r>
      <w:r>
        <w:t xml:space="preserve"> </w:t>
      </w:r>
      <w:r>
        <w:t xml:space="preserve">window.</w:t>
      </w:r>
      <w:r>
        <w:t xml:space="preserve"> </w:t>
      </w:r>
      <w:r>
        <w:t xml:space="preserve">Source:</w:t>
      </w:r>
      <w:r>
        <w:t xml:space="preserve"> </w:t>
      </w:r>
      <w:hyperlink r:id="rId20">
        <w:r>
          <w:rPr>
            <w:rStyle w:val="Hyperlink"/>
          </w:rPr>
          <w:t xml:space="preserve">https://github.com/ozge-devops/congress</w:t>
        </w:r>
      </w:hyperlink>
      <w:r>
        <w:t xml:space="preserve">.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Retail investors sit between the textual density of the Public Disclosure Platform (KAP) </w:t>
      </w:r>
      <w:r>
        <w:t xml:space="preserve">(Public Disclosure Platform (KAP) 2026)</w:t>
      </w:r>
      <w:r>
        <w:t xml:space="preserve"> </w:t>
      </w:r>
      <w:r>
        <w:t xml:space="preserve">and the visual flux of technical charts. The difficulty is not only volume but modality mismatch: a constructive disclosure can coincide with a failed breakout, and the two streams must be reconciled before a decision. Conventional DSS pipelines keep NLP and computer vision in separate pipelines. A second failure mode is temporal: systems emit the same information density whether the user has sixty seconds or ten minutes </w:t>
      </w:r>
      <w:r>
        <w:t xml:space="preserve">(Eppler and Mengis 2004; Miller 1956; Sweller 1988)</w:t>
      </w:r>
      <w:r>
        <w:t xml:space="preserve">. On a mobile-first retail platform that mismatch adds intrinsic load </w:t>
      </w:r>
      <w:r>
        <w:t xml:space="preserve">(Sweller 2023)</w:t>
      </w:r>
      <w:r>
        <w:t xml:space="preserve">.</w:t>
      </w:r>
    </w:p>
    <w:p>
      <w:pPr>
        <w:pStyle w:val="BodyText"/>
      </w:pPr>
      <w:r>
        <w:t xml:space="preserve">Recent LLM trading agents attack related problems from a different angle. FinMem layers memory by information half-life </w:t>
      </w:r>
      <w:r>
        <w:t xml:space="preserve">(Yu et al. 2024)</w:t>
      </w:r>
      <w:r>
        <w:t xml:space="preserve">. VESTA scores a briefing for a retail user whose clock is 1, 3 or 10 minutes: KAP list text and a 40-bar chart. Evaluation reports leakage, per-tier delivery, and action against buy-and-hold. If the user has about one minute, the system emits a short alert or stays silent. If they have about three minutes, it adds one retrieval step over similar past days. If they have about ten minutes, it expands into a briefing with a macro explanation and a hedge sketch. The fusion rule does not change with the clock; only how many agent steps run and how much text is shown. We measure, for each setting, how often a call is issued, how long the pipeline is allowed to run, how many tokens are delivered, and what fraction of that payload is non-actionable. Decision support is scored on next-day BIST direction, not on a realized-volatility flag that can be read off the same day’s OHLCV table. Whenever a chart encoder is used, a numeric OHLCV baseline is reported beside it </w:t>
      </w:r>
      <w:r>
        <w:t xml:space="preserve">(J. Jiang, Kelly, and Xiu 2023)</w:t>
      </w:r>
      <w:r>
        <w:t xml:space="preserve">. The public tables mix unimodal class scores with GMU </w:t>
      </w:r>
      <w:r>
        <w:t xml:space="preserve">(Arevalo et al. 2017)</w:t>
      </w:r>
      <w:r>
        <w:t xml:space="preserve">, tensor fusion </w:t>
      </w:r>
      <w:r>
        <w:t xml:space="preserve">(Zadeh et al. 2017)</w:t>
      </w:r>
      <w:r>
        <w:t xml:space="preserve"> </w:t>
      </w:r>
      <w:r>
        <w:t xml:space="preserve">and a scalar gate. Actionability is a long/short overlay against buy-and-hold, not classification F1 alone. The public chart is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does not contain today’s candle.</w:t>
      </w:r>
    </w:p>
    <w:bookmarkEnd w:id="21"/>
    <w:bookmarkStart w:id="25" w:name="related-work"/>
    <w:p>
      <w:pPr>
        <w:pStyle w:val="Heading1"/>
      </w:pPr>
      <w:r>
        <w:t xml:space="preserve">Related Work</w:t>
      </w:r>
    </w:p>
    <w:bookmarkStart w:id="22" w:name="llms-and-agentic-workflows-in-finance"/>
    <w:p>
      <w:pPr>
        <w:pStyle w:val="Heading2"/>
      </w:pPr>
      <w:r>
        <w:t xml:space="preserve">LLMs and agentic workflows in finance</w:t>
      </w:r>
    </w:p>
    <w:p>
      <w:pPr>
        <w:pStyle w:val="FirstParagraph"/>
      </w:pPr>
      <w:r>
        <w:t xml:space="preserve">Financial NLP has moved from sentiment scoring </w:t>
      </w:r>
      <w:r>
        <w:t xml:space="preserve">(Sohangir et al. 2018)</w:t>
      </w:r>
      <w:r>
        <w:t xml:space="preserve"> </w:t>
      </w:r>
      <w:r>
        <w:t xml:space="preserve">to domain LLMs such as FinGPT </w:t>
      </w:r>
      <w:r>
        <w:t xml:space="preserve">(Yang, Liu, and Wang 2023)</w:t>
      </w:r>
      <w:r>
        <w:t xml:space="preserve">. Hallucination on prices and terminology remains a documented failure mode </w:t>
      </w:r>
      <w:r>
        <w:t xml:space="preserve">(Kang and Liu 2023)</w:t>
      </w:r>
      <w:r>
        <w:t xml:space="preserve">, which is why VESTA grounds text in retrieval </w:t>
      </w:r>
      <w:r>
        <w:t xml:space="preserve">(Lewis et al. 2020)</w:t>
      </w:r>
      <w:r>
        <w:t xml:space="preserve">. Tool-using agents </w:t>
      </w:r>
      <w:r>
        <w:t xml:space="preserve">(Yao et al. 2023)</w:t>
      </w:r>
      <w:r>
        <w:t xml:space="preserve"> </w:t>
      </w:r>
      <w:r>
        <w:t xml:space="preserve">and trading-oriented systems with layered memory </w:t>
      </w:r>
      <w:r>
        <w:t xml:space="preserve">(Yu et al. 2024)</w:t>
      </w:r>
      <w:r>
        <w:t xml:space="preserve"> </w:t>
      </w:r>
      <w:r>
        <w:t xml:space="preserve">are the closest architectural relatives. FinMem allocates memory by the staleness of facts; VESTA allocates compute by the staleness of the user’s attention. FinMem-style agents optimize for the trader; VESTA is scored as a briefing engine for a time-constrained retail user.</w:t>
      </w:r>
    </w:p>
    <w:bookmarkEnd w:id="22"/>
    <w:bookmarkStart w:id="23" w:name="X1fca50cd05c46a4c12151b7eb43b50b74edf4f5"/>
    <w:p>
      <w:pPr>
        <w:pStyle w:val="Heading2"/>
      </w:pPr>
      <w:r>
        <w:t xml:space="preserve">Multimodal fusion and chart understanding</w:t>
      </w:r>
    </w:p>
    <w:p>
      <w:pPr>
        <w:pStyle w:val="FirstParagraph"/>
      </w:pPr>
      <w:r>
        <w:t xml:space="preserve">GMU learns a multiplicative gate between modalities </w:t>
      </w:r>
      <w:r>
        <w:t xml:space="preserve">(Arevalo et al. 2017)</w:t>
      </w:r>
      <w:r>
        <w:t xml:space="preserve">; Tensor Fusion Networks model unimodal and bimodal interactions via an outer product </w:t>
      </w:r>
      <w:r>
        <w:t xml:space="preserve">(Zadeh et al. 2017)</w:t>
      </w:r>
      <w:r>
        <w:t xml:space="preserve">; MulT uses directional pairwise cross-modal attention </w:t>
      </w:r>
      <w:r>
        <w:t xml:space="preserve">(Tsai et al. 2019)</w:t>
      </w:r>
      <w:r>
        <w:t xml:space="preserve">. Jiang and Ji add a forget-gate over cross-modal attention maps </w:t>
      </w:r>
      <w:r>
        <w:t xml:space="preserve">(M. Jiang and Ji 2022)</w:t>
      </w:r>
      <w:r>
        <w:t xml:space="preserve">. Public tables mix unimodal class scores with GMU, TFN, a scalar gate, mean, concat and a MulT-style layer.</w:t>
      </w:r>
    </w:p>
    <w:p>
      <w:pPr>
        <w:pStyle w:val="BodyText"/>
      </w:pPr>
      <w:r>
        <w:t xml:space="preserve">On the vision side, Pix2Struct and MatCha pretrain screenshot-to-text models that read plots </w:t>
      </w:r>
      <w:r>
        <w:t xml:space="preserve">(Lee et al. 2023; Liu et al. 2023)</w:t>
      </w:r>
      <w:r>
        <w:t xml:space="preserve">. In asset pricing, Jiang, Kelly and Xiu show that CNNs on price-trend images extract return-predictive patterns </w:t>
      </w:r>
      <w:r>
        <w:t xml:space="preserve">(J. Jiang, Kelly, and Xiu 2023)</w:t>
      </w:r>
      <w:r>
        <w:t xml:space="preserve">. That result motivates VisualClaw and requires a baseline that sees the same series as numbers. Without the tabular arm, a vision score on a label computed from OHLCV is uninterpretable.</w:t>
      </w:r>
    </w:p>
    <w:p>
      <w:pPr>
        <w:pStyle w:val="BodyText"/>
      </w:pPr>
      <w:r>
        <w:t xml:space="preserve">BIST100 forecasting from technical indicators is studied by Akturk et al. </w:t>
      </w:r>
      <w:r>
        <w:t xml:space="preserve">(Akturk et al. 2026)</w:t>
      </w:r>
      <w:r>
        <w:t xml:space="preserve">; their features are numeric, which is the required control whenever a chart encoder is scored.</w:t>
      </w:r>
    </w:p>
    <w:bookmarkEnd w:id="23"/>
    <w:bookmarkStart w:id="24" w:name="cognitive-load-and-adaptive-interfaces"/>
    <w:p>
      <w:pPr>
        <w:pStyle w:val="Heading2"/>
      </w:pPr>
      <w:r>
        <w:t xml:space="preserve">Cognitive load and adaptive interfaces</w:t>
      </w:r>
    </w:p>
    <w:p>
      <w:pPr>
        <w:pStyle w:val="FirstParagraph"/>
      </w:pPr>
      <w:r>
        <w:t xml:space="preserve">Cognitive load theory requires that presented density match working-memory capacity </w:t>
      </w:r>
      <w:r>
        <w:t xml:space="preserve">(Sweller 1988, 2023; Miller 1956)</w:t>
      </w:r>
      <w:r>
        <w:t xml:space="preserve">. Information overload is a long-standing MIS construct </w:t>
      </w:r>
      <w:r>
        <w:t xml:space="preserve">(Eppler and Mengis 2004)</w:t>
      </w:r>
      <w:r>
        <w:t xml:space="preserve">. Adaptive GUIs have a documented evaluation discipline: measure whether adaptation helps the task, not only whether the widget changed </w:t>
      </w:r>
      <w:r>
        <w:t xml:space="preserve">(Gajos et al. 2006; Findlater and Gajos 2009)</w:t>
      </w:r>
      <w:r>
        <w:t xml:space="preserve">. Summarization evaluation that ignores output length systematically rewards brevity </w:t>
      </w:r>
      <w:r>
        <w:t xml:space="preserve">(Sun et al. 2019)</w:t>
      </w:r>
      <w:r>
        <w:t xml:space="preserve">. On Borsa Istanbul the load is concrete: a KAP list, a candlestick, and a clock between a filing and a retail order. Those four literatures set the metrics (Sect. </w:t>
      </w:r>
      <w:hyperlink w:anchor="sec:metrics">
        <w:r>
          <w:rPr>
            <w:rStyle w:val="Hyperlink"/>
          </w:rPr>
          <w:t xml:space="preserve">4.3</w:t>
        </w:r>
      </w:hyperlink>
      <w:r>
        <w:t xml:space="preserve">) and the 1-/3-/10-minute protocol (Sect. </w:t>
      </w:r>
      <w:hyperlink w:anchor="sec:user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24"/>
    <w:bookmarkEnd w:id="25"/>
    <w:bookmarkStart w:id="40" w:name="system"/>
    <w:p>
      <w:pPr>
        <w:pStyle w:val="Heading1"/>
      </w:pPr>
      <w:r>
        <w:t xml:space="preserve">System</w:t>
      </w:r>
    </w:p>
    <w:p>
      <w:pPr>
        <w:pStyle w:val="FirstParagraph"/>
      </w:pPr>
      <w:r>
        <w:t xml:space="preserve">VESTA has three layers (Fig. </w:t>
      </w:r>
      <w:hyperlink w:anchor="fig:arch">
        <w:r>
          <w:rPr>
            <w:rStyle w:val="Hyperlink"/>
          </w:rPr>
          <w:t xml:space="preserve">1</w:t>
        </w:r>
      </w:hyperlink>
      <w:r>
        <w:t xml:space="preserve">): perception by two expert agents, an off-the-shelf fusion block, and a temporal synthesis layer that spends the user’s time budget.</w:t>
      </w:r>
    </w:p>
    <w:p>
      <w:pPr>
        <w:pStyle w:val="CaptionedFigure"/>
      </w:pPr>
      <w:r>
        <w:drawing>
          <wp:inline>
            <wp:extent cx="4693920" cy="2412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rchitectur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412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 list text and a 40-bar chart go through a standard mixer; T1, T3 or T10 spends the 1-/3-/10-minute budget.</w:t>
      </w:r>
    </w:p>
    <w:bookmarkStart w:id="33" w:name="X950e98809531a31f4da40497a609cfa2083891f"/>
    <w:p>
      <w:pPr>
        <w:pStyle w:val="Heading2"/>
      </w:pPr>
      <w:r>
        <w:t xml:space="preserve">DataClaw0: portfolio-conditioned retrieval</w:t>
      </w:r>
    </w:p>
    <w:p>
      <w:pPr>
        <w:pStyle w:val="FirstParagraph"/>
      </w:pPr>
      <w:r>
        <w:t xml:space="preserve">DataClaw0 is a retrieve-score loop </w:t>
      </w:r>
      <w:r>
        <w:t xml:space="preserve">(Lewis et al. 2020; Yao et al. 2023)</w:t>
      </w:r>
      <w:r>
        <w:t xml:space="preserve"> </w:t>
      </w:r>
      <w:r>
        <w:t xml:space="preserve">(Fig. </w:t>
      </w:r>
      <w:hyperlink w:anchor="fig:claw">
        <w:r>
          <w:rPr>
            <w:rStyle w:val="Hyperlink"/>
          </w:rPr>
          <w:t xml:space="preserve">2</w:t>
        </w:r>
      </w:hyperlink>
      <w:r>
        <w:t xml:space="preserve">):</w:t>
      </w:r>
    </w:p>
    <w:p>
      <w:pPr>
        <w:numPr>
          <w:ilvl w:val="0"/>
          <w:numId w:val="1001"/>
        </w:numPr>
      </w:pPr>
      <w:r>
        <w:t xml:space="preserve">Embed the day’s KAP filings (and any news teasers) together with the user portfolio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M3-Embedding </w:t>
      </w:r>
      <w:r>
        <w:t xml:space="preserve">(Chen et al. 2024)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Score each document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cosine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plus the day’s gold, USD/TRY and session moves,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X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the logistic function and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the gold, USD/TRY and session simple returns. Cosine on M3 vectors is dense retrieval </w:t>
      </w:r>
      <w:r>
        <w:t xml:space="preserve">(Chen et al. 2024)</w:t>
      </w:r>
      <w:r>
        <w:t xml:space="preserve">; Eq. </w:t>
      </w:r>
      <w:hyperlink w:anchor="eq:rel">
        <w:r>
          <w:rPr>
            <w:rStyle w:val="Hyperlink"/>
          </w:rPr>
          <w:t xml:space="preserve">[eq:rel]</w:t>
        </w:r>
      </w:hyperlink>
      <w:r>
        <w:t xml:space="preserve"> </w:t>
      </w:r>
      <w:r>
        <w:t xml:space="preserve">is our score, not the RAG generative likelihood. Public mixers use the 16-d macro+KAP bag;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coefficients are not fitted in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Keep the top-ranked filings as the text brief that later enters fusion.</w:t>
      </w:r>
    </w:p>
    <w:p>
      <w:pPr>
        <w:numPr>
          <w:ilvl w:val="0"/>
          <w:numId w:val="1001"/>
        </w:numPr>
      </w:pPr>
      <w:r>
        <w:t xml:space="preserve">Stop after this pass on a one-minute budget (T1). On a three- or ten-minute budget, run one more retrieval hop over historical analogues, then write.</w:t>
      </w:r>
    </w:p>
    <w:p>
      <w:pPr>
        <w:pStyle w:val="FirstParagraph"/>
      </w:pPr>
      <w:r>
        <w:t xml:space="preserve">The text dataset is VESTA-Public: one row per ticker-day (37</w:t>
      </w:r>
      <w:r>
        <w:t xml:space="preserve">,</w:t>
      </w:r>
      <w:r>
        <w:t xml:space="preserve">046 events; 27 BIST names plus XU100; 24 May 2018 to 19 August 2026). A row is kept if the name moved at least 2%, the vol flag fired, RSI was extreme, or a KAP list item was published that calendar day. 19</w:t>
      </w:r>
      <w:r>
        <w:t xml:space="preserve">,</w:t>
      </w:r>
      <w:r>
        <w:t xml:space="preserve">645 rows have a same-day KAP teaser; 15</w:t>
      </w:r>
      <w:r>
        <w:t xml:space="preserve">,</w:t>
      </w:r>
      <w:r>
        <w:t xml:space="preserve">212 have a cached public HTML body. Yahoo headlines exist for 41 rows. Table </w:t>
      </w:r>
      <w:hyperlink w:anchor="tab:tex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four KAP list strings. We do three things with them: (i) a Turkish/English lexicon plus subject priors (dividend and buyback tilt bullish; fine and probe tilt bearish) yields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_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</m:oMath>
      <w:r>
        <w:t xml:space="preserve">; (ii) the same strings, plus USD/TRY, gold and the session, become an eight-plus-eight feature vector for the mixers; (iii) MiniLM </w:t>
      </w:r>
      <w:r>
        <w:t xml:space="preserve">(Reimers and Gurevych 2019)</w:t>
      </w:r>
      <w:r>
        <w:t xml:space="preserve"> </w:t>
      </w:r>
      <w:r>
        <w:t xml:space="preserve">and BGE-M3 embed the concatenated list text. The templated brief a T10 user would read looks like:</w:t>
      </w:r>
      <w:r>
        <w:t xml:space="preserve"> </w:t>
      </w:r>
      <w:r>
        <w:t xml:space="preserve">“</w:t>
      </w:r>
      <w:r>
        <w:t xml:space="preserve">2018-06-14 BIMAS.IS. Session return +0.12%. USD/TRY …Brief polarity bullish; chart cue none. Payların Geri Alınmasına İlişkin Bildirim. 13 Haziran 2018 Tarihli Pay Geri Alım İşlemleri.</w:t>
      </w:r>
      <w:r>
        <w:t xml:space="preserve">”</w:t>
      </w:r>
    </w:p>
    <w:bookmarkStart w:id="29" w:name="tab:text"/>
    <w:p>
      <w:pPr>
        <w:pStyle w:val="TableCaption"/>
      </w:pPr>
      <w:r>
        <w:t xml:space="preserve">Example KAP list teasers in VESTA-Public (subject plus short summary from kap.org.tr). Polarity is the silver codebook.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xample KAP list teasers in VESTA-Public (subject plus short summary from kap.org.tr). Polarity is the silver codebook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 list teaser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Polar.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2018-06-14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Payların Geri Alınmasına İlişkin Bildirim. 13 Haziran 2018 Tarihli Pay Geri Alım İşlemleri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2018-06-19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BISTECH Pay Piyasası Alım Satım Sistemi Duyurusu. Temettü Ödemesi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2018-05-25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YKBNK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Özel Durum Açıklaması (Genel). Bankamıza verilen idari para cezasının iptaline ilişkin açılan dava hk.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Özel Durum Açıklaması (Genel). Rekabet Kurulu Soruşturma Kararı Hakkında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bearish</w:t>
            </w:r>
          </w:p>
        </w:tc>
      </w:tr>
    </w:tbl>
    <w:bookmarkEnd w:id="29"/>
    <w:p>
      <w:pPr>
        <w:pStyle w:val="CaptionedFigure"/>
      </w:pPr>
      <w:r>
        <w:drawing>
          <wp:inline>
            <wp:extent cx="4160520" cy="247978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dataclw0_loo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47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DataClaw0 retrieve-score loop. The blue hop is a second retrieval, used only on a T3 or T10 budget.</w:t>
      </w:r>
    </w:p>
    <w:bookmarkEnd w:id="33"/>
    <w:bookmarkStart w:id="37" w:name="sec:vision"/>
    <w:p>
      <w:pPr>
        <w:pStyle w:val="Heading2"/>
      </w:pPr>
      <w:r>
        <w:t xml:space="preserve">VisualClaw: candles, pixels, tokens</w:t>
      </w:r>
    </w:p>
    <w:p>
      <w:pPr>
        <w:pStyle w:val="FirstParagraph"/>
      </w:pPr>
      <w:r>
        <w:t xml:space="preserve">VisualClaw draws the chart from OHLC bars. Figure </w:t>
      </w:r>
      <w:hyperlink w:anchor="fig:vi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one XU100 window from the test split.</w:t>
      </w:r>
    </w:p>
    <w:p>
      <w:pPr>
        <w:numPr>
          <w:ilvl w:val="0"/>
          <w:numId w:val="1002"/>
        </w:numPr>
      </w:pPr>
      <w:r>
        <w:t xml:space="preserve">Take the 40 sessions strictly before day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(open, high, low, close). Today’s candle is not in the picture.</w:t>
      </w:r>
    </w:p>
    <w:p>
      <w:pPr>
        <w:numPr>
          <w:ilvl w:val="0"/>
          <w:numId w:val="1002"/>
        </w:numPr>
      </w:pPr>
      <w:r>
        <w:t xml:space="preserve">Paint a grayscale candlestick: a one-pixel wick and a rectangular body. Close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open is dark (</w:t>
      </w:r>
      <m:oMath>
        <m:r>
          <m:t>30</m:t>
        </m:r>
        <m:r>
          <m:rPr>
            <m:sty m:val="p"/>
          </m:rPr>
          <m:t>/</m:t>
        </m:r>
        <m:r>
          <m:t>255</m:t>
        </m:r>
      </m:oMath>
      <w:r>
        <w:t xml:space="preserve">); close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open is light (</w:t>
      </w:r>
      <m:oMath>
        <m:r>
          <m:t>180</m:t>
        </m:r>
        <m:r>
          <m:rPr>
            <m:sty m:val="p"/>
          </m:rPr>
          <m:t>/</m:t>
        </m:r>
        <m:r>
          <m:t>255</m:t>
        </m:r>
      </m:oMath>
      <w:r>
        <w:t xml:space="preserve">). Price is min-max scaled to that window.</w:t>
      </w:r>
    </w:p>
    <w:p>
      <w:pPr>
        <w:numPr>
          <w:ilvl w:val="0"/>
          <w:numId w:val="1002"/>
        </w:numPr>
      </w:pPr>
      <w:r>
        <w:t xml:space="preserve">Resize to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. The vision MLP flattens this to a</w:t>
      </w:r>
      <w:r>
        <w:t xml:space="preserve"> </w:t>
      </w:r>
      <m:oMath>
        <m:r>
          <m:t>576</m:t>
        </m:r>
      </m:oMath>
      <w:r>
        <w:t xml:space="preserve">-d vector and classifies with hidden layers</w:t>
      </w:r>
      <w:r>
        <w:t xml:space="preserve"> </w:t>
      </w:r>
      <m:oMath>
        <m:r>
          <m:t>64</m:t>
        </m:r>
      </m:oMath>
      <w:r>
        <w:t xml:space="preserve">-</w:t>
      </w:r>
      <m:oMath>
        <m:r>
          <m:t>32</m:t>
        </m:r>
      </m:oMath>
      <w:r>
        <w:t xml:space="preserve">. That is the vision row in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For the MulT-style mixer only, cut the same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image into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grid of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patches (nine visual tokens). The</w:t>
      </w:r>
      <w:r>
        <w:t xml:space="preserve"> </w:t>
      </w:r>
      <m:oMath>
        <m:r>
          <m:t>16</m:t>
        </m:r>
      </m:oMath>
      <w:r>
        <w:t xml:space="preserve">-d text brief is split into two tokens. Projections are frozen (seed 0); only the MLP on top is trained.</w:t>
      </w:r>
    </w:p>
    <w:p>
      <w:pPr>
        <w:pStyle w:val="FirstParagraph"/>
      </w:pPr>
      <w:r>
        <w:t xml:space="preserve">Two extra probes sit beside the mixer: a frozen ImageNet ViT-B/16 </w:t>
      </w:r>
      <w:r>
        <w:t xml:space="preserve">(Dosovitskiy et al. 2021)</w:t>
      </w:r>
      <w:r>
        <w:t xml:space="preserve"> </w:t>
      </w:r>
      <w:r>
        <w:t xml:space="preserve">that resizes a colour chart to</w:t>
      </w:r>
      <w:r>
        <w:t xml:space="preserve"> </w:t>
      </w:r>
      <m:oMath>
        <m:r>
          <m:t>224</m:t>
        </m:r>
        <m:r>
          <m:rPr>
            <m:sty m:val="p"/>
          </m:rPr>
          <m:t>×</m:t>
        </m:r>
        <m:r>
          <m:t>224</m:t>
        </m:r>
      </m:oMath>
      <w:r>
        <w:t xml:space="preserve"> </w:t>
      </w:r>
      <w:r>
        <w:t xml:space="preserve">and uses that model’s own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patches; and zero-shot DePlot / MatCha, which see a matplotlib RGB screenshot of the same 40 bars (Fig. </w:t>
      </w:r>
      <w:hyperlink w:anchor="fig:vision">
        <w:r>
          <w:rPr>
            <w:rStyle w:val="Hyperlink"/>
          </w:rPr>
          <w:t xml:space="preserve">3</w:t>
        </w:r>
      </w:hyperlink>
      <w:r>
        <w:t xml:space="preserve">a). Tabular OHLCV at day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always reported beside the picture </w:t>
      </w:r>
      <w:r>
        <w:t xml:space="preserve">(J. Jiang, Kelly, and Xiu 2023)</w:t>
      </w:r>
      <w:r>
        <w:t xml:space="preserve">. Public tables train the flattened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MLP; they do not add a recency term to patch positions.</w:t>
      </w:r>
    </w:p>
    <w:p>
      <w:pPr>
        <w:pStyle w:val="CaptionedFigure"/>
      </w:pPr>
      <w:r>
        <w:drawing>
          <wp:inline>
            <wp:extent cx="5227320" cy="185356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visualcla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853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VisualClaw on one XU100 test window (40 bars before 27 May 2025). (a) RGB screenshot for DePlot / MatCha. (b) 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grayscale tensor the MLP flattens. (c) Nine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tokens for the MulT-style mixer.</w:t>
      </w:r>
    </w:p>
    <w:bookmarkEnd w:id="37"/>
    <w:bookmarkStart w:id="38" w:name="sec:fusion"/>
    <w:p>
      <w:pPr>
        <w:pStyle w:val="Heading2"/>
      </w:pPr>
      <w:r>
        <w:t xml:space="preserve">Fusion</w:t>
      </w:r>
    </w:p>
    <w:p>
      <w:pPr>
        <w:pStyle w:val="FirstParagraph"/>
      </w:pPr>
      <w:r>
        <w:t xml:space="preserve">Arevalo et al. write the bimodal GMU as </w:t>
      </w:r>
      <w:r>
        <w:t xml:space="preserve">(Arevalo et al. 2017)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v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v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v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v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near 1 keeps the visual branch. Zadeh et al. flatten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;</m:t>
            </m:r>
            <m:r>
              <m:t>1</m:t>
            </m:r>
          </m:e>
        </m:d>
        <m:r>
          <m:rPr>
            <m:sty m:val="p"/>
          </m:rPr>
          <m:t>⊗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t xml:space="preserve"> </w:t>
      </w:r>
      <w:r>
        <w:t xml:space="preserve">(TFN) </w:t>
      </w:r>
      <w:r>
        <w:t xml:space="preserve">(Zadeh et al. 2017)</w:t>
      </w:r>
      <w:r>
        <w:t xml:space="preserve">. In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unimodal class-score vectors:</w:t>
      </w:r>
      <w: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are unused. The GMU row keeps Arevalo’s mix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 sigmoid of the score gap. The TFN row uses that outer product on the same scores. The scalar-gate row uses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g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rPr>
                                <m:sty m:val="p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v</m:t>
                            </m:r>
                            <m:r>
                              <m:rPr>
                                <m:sty m:val="p"/>
                              </m:rPr>
                              <m:t>i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i</m:t>
                            </m:r>
                            <m:r>
                              <m:rPr>
                                <m:sty m:val="p"/>
                              </m:rPr>
                              <m:t>o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t>h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t> </m:t>
                </m:r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x</m:t>
                        </m:r>
                        <m:r>
                          <m:rPr>
                            <m:sty m:val="p"/>
                          </m:rP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v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near 1 keeps text. A small MLP reads the mix. Mean and concat are unweighted. The MulT-style row is one CPU attention layer on two text tokens and nine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patches, with frozen projections </w:t>
      </w:r>
      <w:r>
        <w:t xml:space="preserve">(Tsai et al. 2019)</w:t>
      </w:r>
      <w:r>
        <w:t xml:space="preserve">. The fused call drives T1 / T3 / T10.</w:t>
      </w:r>
    </w:p>
    <w:bookmarkEnd w:id="38"/>
    <w:bookmarkStart w:id="39" w:name="sec:tol"/>
    <w:p>
      <w:pPr>
        <w:pStyle w:val="Heading2"/>
      </w:pPr>
      <w:r>
        <w:t xml:space="preserve">Temporal Orchestration Layer</w:t>
      </w:r>
    </w:p>
    <w:p>
      <w:pPr>
        <w:pStyle w:val="FirstParagraph"/>
      </w:pPr>
      <w:r>
        <w:t xml:space="preserve">Given fused confidence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0.5</m:t>
            </m:r>
          </m:e>
        </m:d>
      </m:oMath>
      <w:r>
        <w:t xml:space="preserve"> </w:t>
      </w:r>
      <w:r>
        <w:t xml:space="preserve">and a user budget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minutes, the layer selects a chain:</w:t>
      </w:r>
    </w:p>
    <w:p>
      <w:pPr>
        <w:numPr>
          <w:ilvl w:val="0"/>
          <w:numId w:val="1003"/>
        </w:numPr>
      </w:pPr>
      <w:r>
        <w:t xml:space="preserve">T1 (flash). Emit a gated alert only if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0.5</m:t>
            </m:r>
          </m:e>
        </m:d>
        <m:r>
          <m:rPr>
            <m:sty m:val="p"/>
          </m:rPr>
          <m:t>&gt;</m:t>
        </m:r>
        <m:r>
          <m:t>τ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0.18</m:t>
        </m:r>
      </m:oMath>
      <w:r>
        <w:t xml:space="preserve">; otherwise abstain. Target latency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 s.</w:t>
      </w:r>
    </w:p>
    <w:p>
      <w:pPr>
        <w:numPr>
          <w:ilvl w:val="0"/>
          <w:numId w:val="1003"/>
        </w:numPr>
      </w:pPr>
      <w:r>
        <w:t xml:space="preserve">T3 (context). Always emit the fused call plus one retrieval hop over historical analogues.</w:t>
      </w:r>
    </w:p>
    <w:p>
      <w:pPr>
        <w:numPr>
          <w:ilvl w:val="0"/>
          <w:numId w:val="1003"/>
        </w:numPr>
      </w:pPr>
      <w:r>
        <w:t xml:space="preserve">T10 (briefing). Expand into a macro explanation and a hedge sketch (e.g. airline exposure versus a gold certificate), at several seconds of wall-clock time.</w:t>
      </w:r>
    </w:p>
    <w:p>
      <w:pPr>
        <w:pStyle w:val="FirstParagraph"/>
      </w:pPr>
      <w:r>
        <w:t xml:space="preserve">Chain depth changes with</w:t>
      </w:r>
      <w:r>
        <w:t xml:space="preserve"> </w:t>
      </w:r>
      <m:oMath>
        <m:r>
          <m:t>B</m:t>
        </m:r>
      </m:oMath>
      <w:r>
        <w:t xml:space="preserve">; the mixer stays fixed. The same fused call is spent as a flash, a short context, or a briefing. Section </w:t>
      </w:r>
      <w:hyperlink w:anchor="sec:tiers">
        <w:r>
          <w:rPr>
            <w:rStyle w:val="Hyperlink"/>
          </w:rPr>
          <w:t xml:space="preserve">5.4</w:t>
        </w:r>
      </w:hyperlink>
      <w:r>
        <w:t xml:space="preserve"> </w:t>
      </w:r>
      <w:r>
        <w:t xml:space="preserve">reports coverage, latency, tokens and noise per tier.</w:t>
      </w:r>
    </w:p>
    <w:bookmarkEnd w:id="39"/>
    <w:bookmarkEnd w:id="40"/>
    <w:bookmarkStart w:id="46" w:name="sec:protocol"/>
    <w:p>
      <w:pPr>
        <w:pStyle w:val="Heading1"/>
      </w:pPr>
      <w:r>
        <w:t xml:space="preserve">Evaluation Protocol</w:t>
      </w:r>
    </w:p>
    <w:bookmarkStart w:id="41" w:name="sec:leak"/>
    <w:p>
      <w:pPr>
        <w:pStyle w:val="Heading2"/>
      </w:pPr>
      <w:r>
        <w:t xml:space="preserve">Diagnostic: the realized-volatility label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realized-vol flag at day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20-day realized vol (annualized) above the 60-day rolling mean plus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of that 20-day vol series, all taken from the tabular vector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(100% F1). The public chart does not contain today’s candle, so vision F1 on this label is lag-1 recovery. We report the flag only as a diagnostic.</w:t>
      </w:r>
    </w:p>
    <w:bookmarkEnd w:id="41"/>
    <w:bookmarkStart w:id="42" w:name="primary-task-forward-direction"/>
    <w:p>
      <w:pPr>
        <w:pStyle w:val="Heading2"/>
      </w:pPr>
      <w:r>
        <w:t xml:space="preserve">Primary task: forward direction</w:t>
      </w:r>
    </w:p>
    <w:p>
      <w:pPr>
        <w:pStyle w:val="FirstParagraph"/>
      </w:pPr>
      <w:r>
        <w:t xml:space="preserve">The primary label at close of day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next session’s direction: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BIST100 simple return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positive, and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 The label is unknown at the close of day</w:t>
      </w:r>
      <w:r>
        <w:t xml:space="preserve"> </w:t>
      </w:r>
      <m:oMath>
        <m:r>
          <m:t>t</m:t>
        </m:r>
      </m:oMath>
      <w:r>
        <w:t xml:space="preserve">. We also report a five-session horizon. Splits are chronological (70/15/15) to block look-ahead </w:t>
      </w:r>
      <w:r>
        <w:t xml:space="preserve">(Akturk et al. 2026)</w:t>
      </w:r>
      <w:r>
        <w:t xml:space="preserve">.</w:t>
      </w:r>
    </w:p>
    <w:bookmarkEnd w:id="42"/>
    <w:bookmarkStart w:id="44" w:name="sec: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Classification. Accuracy and macro-F1,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m:oMath>
        <m:r>
          <m:t>1.96</m:t>
        </m:r>
      </m:oMath>
      <w:r>
        <w:t xml:space="preserve"> </w:t>
      </w:r>
      <w:r>
        <w:t xml:space="preserve">standard error over five seeds. McNemar with continuity correction </w:t>
      </w:r>
      <w:r>
        <w:t xml:space="preserve">(Dietterich 1998)</w:t>
      </w:r>
      <w:r>
        <w:t xml:space="preserve"> </w:t>
      </w:r>
      <w:r>
        <w:t xml:space="preserve">on seed 0 of one chronological holdout.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has thirteen rows; McNemar is mixer-only. With that many rows we follow Harvey et al. </w:t>
      </w:r>
      <w:r>
        <w:t xml:space="preserve">(Harvey, Liu, and Zhu 2016)</w:t>
      </w:r>
      <w:r>
        <w:t xml:space="preserve"> </w:t>
      </w:r>
      <w:r>
        <w:t xml:space="preserve">and do not pick a winner after an uncorrected search.</w:t>
      </w:r>
    </w:p>
    <w:p>
      <w:pPr>
        <w:pStyle w:val="BodyText"/>
      </w:pPr>
      <w:r>
        <w:t xml:space="preserve">Sentiment / technical accuracy. Table </w:t>
      </w:r>
      <w:hyperlink w:anchor="tab:proxy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proxy accuracy versus next-day direction. Macro flags and KAP polarity are deterministic rules on one chronological split (no seed CI). Vision and tabular are five-seed means from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 Three KAP codebooks on the 10k slice give Fleiss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0.50</m:t>
        </m:r>
      </m:oMath>
      <w:r>
        <w:t xml:space="preserve">; chart A/B Cohen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0.52</m:t>
        </m:r>
      </m:oMath>
      <w:r>
        <w:t xml:space="preserve"> </w:t>
      </w:r>
      <w:r>
        <w:t xml:space="preserve">(Cohen 1960)</w:t>
      </w:r>
      <w:r>
        <w:t xml:space="preserve">. The 250-row annotator columns are codebook B.</w:t>
      </w:r>
    </w:p>
    <w:bookmarkStart w:id="43" w:name="tab:proxy"/>
    <w:p>
      <w:pPr>
        <w:pStyle w:val="TableCaption"/>
      </w:pPr>
      <w:r>
        <w:t xml:space="preserve">Proxy accuracy vs next-day direction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). Macro/KAP are single-split rules; vision/tabular are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95% CI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roxy accuracy vs next-day direction y_{t+1} (test n=308). Macro/KAP are single-split rules; vision/tabular are mean \pm 95% CI over five seed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Proxy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Acc. 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flags (USD/TRY, gold, vol, shock)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54.9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KAP polarity (lexicon on public list text)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49.7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  <w: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t xml:space="preserve"> </w:t>
            </w: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52.9</m:t>
              </m:r>
              <m:r>
                <m:rPr>
                  <m:sty m:val="p"/>
                </m:rPr>
                <m:t>±</m:t>
              </m:r>
              <m:r>
                <m:t>2.3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OHLCV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50.6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</w:tr>
    </w:tbl>
    <w:bookmarkEnd w:id="43"/>
    <w:p>
      <w:pPr>
        <w:pStyle w:val="BodyText"/>
      </w:pPr>
      <w:r>
        <w:t xml:space="preserve">Information noise. This is the computational cognitive measure.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be tokens in the unprocessed window (the raw KAP list plus session flags)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tokens actually delivered in the T1, T3 or T10 briefing.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delivered tokens that are not in a relevance lexicon for that window (session, USD/TRY, gold, vol, KAP digest). The index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rewards short answers: a 40-token briefing that is 80% filler still looks clean against a 700-token feed </w:t>
      </w:r>
      <w:r>
        <w:t xml:space="preserve">(Sun et al. 2019)</w:t>
      </w:r>
      <w:r>
        <w:t xml:space="preserve">. We therefore report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the delivered finance briefing that is non-actionable, together with the compression ratio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our index; Sun et al. motivate dividing by delivered length. Both counts use templated token bags with filler padding. Table </w:t>
      </w:r>
      <w:hyperlink w:anchor="tab:tier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that computational proxy; human NASA-TLX is Sect. </w:t>
      </w:r>
      <w:hyperlink w:anchor="sec:user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t xml:space="preserve">Decision quality. Classification F1 does not say whether acting on the output helps </w:t>
      </w:r>
      <w:r>
        <w:t xml:space="preserve">(Findlater and Gajos 2009)</w:t>
      </w:r>
      <w:r>
        <w:t xml:space="preserve">. We paper-trade a long/short overlay: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model predicts up,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otherwise, with 5 bp round-trip cost, and compare Sharpe, total return and max drawdown to buy-and-hold. Table </w:t>
      </w:r>
      <w:hyperlink w:anchor="tab:b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that control; Sect. </w:t>
      </w:r>
      <w:hyperlink w:anchor="sec:use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the human cognitive protocol.</w:t>
      </w:r>
    </w:p>
    <w:bookmarkEnd w:id="44"/>
    <w:bookmarkStart w:id="45" w:name="public-replication-corpus"/>
    <w:p>
      <w:pPr>
        <w:pStyle w:val="Heading2"/>
      </w:pPr>
      <w:r>
        <w:t xml:space="preserve">Public replication corpus</w:t>
      </w:r>
    </w:p>
    <w:p>
      <w:pPr>
        <w:pStyle w:val="FirstParagraph"/>
      </w:pPr>
      <w:r>
        <w:t xml:space="preserve">Numbers below use VESTA-Public: XU100.IS, USDTRY and COMEX gold from 24 May 2018 to 19 August 2026 (2</w:t>
      </w:r>
      <w:r>
        <w:t xml:space="preserve">,</w:t>
      </w:r>
      <w:r>
        <w:t xml:space="preserve">052 index windows after a 40-day lookback; test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 </w:t>
      </w:r>
      <w:r>
        <w:t xml:space="preserve">from 27 May 2025), 27 BIST names, and 39</w:t>
      </w:r>
      <w:r>
        <w:t xml:space="preserve">,</w:t>
      </w:r>
      <w:r>
        <w:t xml:space="preserve">890 KAP list filings from kap.org.tr. Tables </w:t>
      </w:r>
      <w:hyperlink w:anchor="tab:lea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to </w:t>
      </w:r>
      <w:hyperlink w:anchor="tab:b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are index-level; the 37</w:t>
      </w:r>
      <w:r>
        <w:t xml:space="preserve">,</w:t>
      </w:r>
      <w:r>
        <w:t xml:space="preserve">046-row event panel also labels constituents. KAP-only polarity: 7</w:t>
      </w:r>
      <w:r>
        <w:t xml:space="preserve">,</w:t>
      </w:r>
      <w:r>
        <w:t xml:space="preserve">172 / 3</w:t>
      </w:r>
      <w:r>
        <w:t xml:space="preserve">,</w:t>
      </w:r>
      <w:r>
        <w:t xml:space="preserve">742 / 26</w:t>
      </w:r>
      <w:r>
        <w:t xml:space="preserve">,</w:t>
      </w:r>
      <w:r>
        <w:t xml:space="preserve">132 (bullish / bearish / neutral); 15</w:t>
      </w:r>
      <w:r>
        <w:t xml:space="preserve">,</w:t>
      </w:r>
      <w:r>
        <w:t xml:space="preserve">212 rows have a cached public HTML body. Mixers use the 16-d macro+KAP vector; MiniLM and BGE-M3 are unimodal text probes on the same list teasers.</w:t>
      </w:r>
    </w:p>
    <w:bookmarkEnd w:id="45"/>
    <w:bookmarkEnd w:id="46"/>
    <w:bookmarkStart w:id="66" w:name="sec:exp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Unimodal encoders are sklearn MLPs (64-32, Adam, early stopping) on standardized features. Vision sees a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grayscale candlestick of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; tabular sees eleven OHLCV/macro features at</w:t>
      </w:r>
      <w:r>
        <w:t xml:space="preserve"> </w:t>
      </w:r>
      <m:oMath>
        <m:r>
          <m:t>t</m:t>
        </m:r>
      </m:oMath>
      <w:r>
        <w:t xml:space="preserve">, including the ingredients of the leaked vol rule; text sees the sixteen-dimensional macro+KAP vector. Five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 Training is on CPU. Public BGE-M3 and frozen ViT-B/16 are unimodal probes; they remain unimodal in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</w:t>
      </w:r>
    </w:p>
    <w:bookmarkStart w:id="51" w:name="diagnostic-the-leaked-volatility-label"/>
    <w:p>
      <w:pPr>
        <w:pStyle w:val="Heading2"/>
      </w:pPr>
      <w:r>
        <w:t xml:space="preserve">Diagnostic: the leaked volatility label</w:t>
      </w:r>
    </w:p>
    <w:p>
      <w:pPr>
        <w:pStyle w:val="FirstParagraph"/>
      </w:pPr>
      <w:r>
        <w:t xml:space="preserve">Table </w:t>
      </w:r>
      <w:hyperlink w:anchor="tab:lea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leak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confirm the closed-form critique. The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rule on the tabular vector scores 100% F1. A tabular MLP that is given those numbers reaches 96.8% accuracy (macro-F1 86.6%; the F1 drop is class imbalance: 25 positives among 308 test days, 8.1%; 9.4% of all 2</w:t>
      </w:r>
      <w:r>
        <w:t xml:space="preserve">,</w:t>
      </w:r>
      <w:r>
        <w:t xml:space="preserve">052 windows). 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vision encoder, which never sees day</w:t>
      </w:r>
      <w:r>
        <w:t xml:space="preserve"> </w:t>
      </w:r>
      <m:oMath>
        <m:r>
          <m:t>t</m:t>
        </m:r>
      </m:oMath>
      <w:r>
        <w:t xml:space="preserve">’s candle, falls to 90.6% accuracy and 58.2% F1.</w:t>
      </w:r>
    </w:p>
    <w:bookmarkStart w:id="47" w:name="tab:leak"/>
    <w:p>
      <w:pPr>
        <w:pStyle w:val="TableCaption"/>
      </w:pPr>
      <w:r>
        <w:t xml:space="preserve">Diagnostic task: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realized-vol label, computable from the tabular vector at</w:t>
      </w:r>
      <w:r>
        <w:t xml:space="preserve"> </w:t>
      </w:r>
      <m:oMath>
        <m:r>
          <m:t>t</m:t>
        </m:r>
      </m:oMath>
      <w:r>
        <w:t xml:space="preserve">.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95% CI over five seeds. Vision sees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iagnostic task: 2\sigma realized-vol label, computable from the tabular vector at t. Mean \pm 95% CI over five seeds. Vision sees bars t-40,\ldots,t-1 only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Macro-F1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Closed-form OHLCV rule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MLP (same numbers)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96.8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86.6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 MLP (chart image)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90.6</m:t>
              </m:r>
              <m:r>
                <m:rPr>
                  <m:sty m:val="p"/>
                </m:rPr>
                <m:t>±</m:t>
              </m:r>
              <m:r>
                <m:t>1.1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58.2</m:t>
              </m:r>
              <m:r>
                <m:rPr>
                  <m:sty m:val="p"/>
                </m:rPr>
                <m:t>±</m:t>
              </m:r>
              <m:r>
                <m:t>3.0</m:t>
              </m:r>
            </m:oMath>
          </w:p>
        </w:tc>
      </w:tr>
    </w:tbl>
    <w:bookmarkEnd w:id="47"/>
    <w:p>
      <w:pPr>
        <w:pStyle w:val="CaptionedFigure"/>
      </w:pPr>
      <w:r>
        <w:drawing>
          <wp:inline>
            <wp:extent cx="3307080" cy="199896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leakag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99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Diagnostic</w:t>
      </w:r>
      <w:r>
        <w:t xml:space="preserve"> </w:t>
      </w:r>
      <m:oMath>
        <m:r>
          <m:t>2</m:t>
        </m:r>
        <m:r>
          <m:t>σ</m:t>
        </m:r>
      </m:oMath>
      <w:r>
        <w:t xml:space="preserve">-vol label. The closed-form OHLCV rule scores 100% F1; the chart omits day</w:t>
      </w:r>
      <w:r>
        <w:t xml:space="preserve"> </w:t>
      </w:r>
      <m:oMath>
        <m:r>
          <m:t>t</m:t>
        </m:r>
      </m:oMath>
      <w:r>
        <w:t xml:space="preserve">.</w:t>
      </w:r>
    </w:p>
    <w:bookmarkEnd w:id="51"/>
    <w:bookmarkStart w:id="56" w:name="primary-task-next-day-direction"/>
    <w:p>
      <w:pPr>
        <w:pStyle w:val="Heading2"/>
      </w:pPr>
      <w:r>
        <w:t xml:space="preserve">Primary task: next-day direction</w:t>
      </w:r>
    </w:p>
    <w:p>
      <w:pPr>
        <w:pStyle w:val="FirstParagraph"/>
      </w:pPr>
      <w:r>
        <w:t xml:space="preserve">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 the leakage-free task (test prior 52.3% up-days). Text-only (macro</w:t>
      </w:r>
      <m:oMath>
        <m:r>
          <m:rPr>
            <m:sty m:val="p"/>
          </m:rPr>
          <m:t>+</m:t>
        </m:r>
      </m:oMath>
      <w:r>
        <w:t xml:space="preserve">KAP) macro-F1 is</w:t>
      </w:r>
      <w:r>
        <w:t xml:space="preserve"> </w:t>
      </w:r>
      <m:oMath>
        <m:r>
          <m:t>47.3</m:t>
        </m:r>
        <m:r>
          <m:rPr>
            <m:sty m:val="p"/>
          </m:rPr>
          <m:t>±</m:t>
        </m:r>
        <m:r>
          <m:t>1.5</m:t>
        </m:r>
      </m:oMath>
      <w:r>
        <w:t xml:space="preserve"> </w:t>
      </w:r>
      <w:r>
        <w:t xml:space="preserve">against a majority F1 of</w:t>
      </w:r>
      <w:r>
        <w:t xml:space="preserve"> </w:t>
      </w:r>
      <m:oMath>
        <m:r>
          <m:t>34.3</m:t>
        </m:r>
      </m:oMath>
      <w:r>
        <w:t xml:space="preserve">; MiniLM</w:t>
      </w:r>
      <w:r>
        <w:t xml:space="preserve"> </w:t>
      </w:r>
      <m:oMath>
        <m:r>
          <m:t>53.0</m:t>
        </m:r>
        <m:r>
          <m:rPr>
            <m:sty m:val="p"/>
          </m:rPr>
          <m:t>±</m:t>
        </m:r>
        <m:r>
          <m:t>0.4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50.7</m:t>
        </m:r>
        <m:r>
          <m:rPr>
            <m:sty m:val="p"/>
          </m:rPr>
          <m:t>±</m:t>
        </m:r>
        <m:r>
          <m:t>1.9</m:t>
        </m:r>
      </m:oMath>
      <w:r>
        <w:t xml:space="preserve">; public BGE-M3</w:t>
      </w:r>
      <w:r>
        <w:t xml:space="preserve"> </w:t>
      </w:r>
      <m:oMath>
        <m:r>
          <m:t>51.1</m:t>
        </m:r>
        <m:r>
          <m:rPr>
            <m:sty m:val="p"/>
          </m:rPr>
          <m:t>±</m:t>
        </m:r>
        <m:r>
          <m:t>1.9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50.2</m:t>
        </m:r>
        <m:r>
          <m:rPr>
            <m:sty m:val="p"/>
          </m:rPr>
          <m:t>±</m:t>
        </m:r>
        <m:r>
          <m:t>2.1</m:t>
        </m:r>
      </m:oMath>
      <w:r>
        <w:t xml:space="preserve">; frozen ViT-B/16</w:t>
      </w:r>
      <w:r>
        <w:t xml:space="preserve"> </w:t>
      </w:r>
      <m:oMath>
        <m:r>
          <m:t>50.9</m:t>
        </m:r>
        <m:r>
          <m:rPr>
            <m:sty m:val="p"/>
          </m:rPr>
          <m:t>±</m:t>
        </m:r>
        <m:r>
          <m:t>1.4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50.3</m:t>
        </m:r>
        <m:r>
          <m:rPr>
            <m:sty m:val="p"/>
          </m:rPr>
          <m:t>±</m:t>
        </m:r>
        <m:r>
          <m:t>1.6</m:t>
        </m:r>
      </m:oMath>
      <w:r>
        <w:t xml:space="preserve">. Mixers share 16-d text and 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image; none beats GMU on seed 0 (min. McNemar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0.46</m:t>
        </m:r>
      </m:oMath>
      <w:r>
        <w:t xml:space="preserve">). Mean fusion is the five-seed point estimate (</w:t>
      </w:r>
      <m:oMath>
        <m:r>
          <m:t>53.0</m:t>
        </m:r>
        <m:r>
          <m:rPr>
            <m:sty m:val="p"/>
          </m:rPr>
          <m:t>±</m:t>
        </m:r>
        <m:r>
          <m:t>2.2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52.4</m:t>
        </m:r>
        <m:r>
          <m:rPr>
            <m:sty m:val="p"/>
          </m:rPr>
          <m:t>±</m:t>
        </m:r>
        <m:r>
          <m:t>2.3</m:t>
        </m:r>
      </m:oMath>
      <w:r>
        <w:t xml:space="preserve">). Five-day tabular accuracy is 59.1% with collapsed F1 (39.9%).</w:t>
      </w:r>
    </w:p>
    <w:bookmarkStart w:id="52" w:name="tab:fwd"/>
    <w:p>
      <w:pPr>
        <w:pStyle w:val="TableCaption"/>
      </w:pPr>
      <w:r>
        <w:t xml:space="preserve">Next-day BIST100 direction on VESTA-Public (test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).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m:oMath>
        <m:r>
          <m:t>1.96</m:t>
        </m:r>
      </m:oMath>
      <w:r>
        <w:t xml:space="preserve"> </w:t>
      </w:r>
      <w:r>
        <w:t xml:space="preserve">se, five seeds. Rows are ordered by macro-F1. MiniLM, BGE-M3 and ViT are unimodal probes. Mixers: GMU </w:t>
      </w:r>
      <w:r>
        <w:t xml:space="preserve">(Arevalo et al. 2017)</w:t>
      </w:r>
      <w:r>
        <w:t xml:space="preserve">, TFN </w:t>
      </w:r>
      <w:r>
        <w:t xml:space="preserve">(Zadeh et al. 2017)</w:t>
      </w:r>
      <w:r>
        <w:t xml:space="preserve">, MulT-style </w:t>
      </w:r>
      <w:r>
        <w:t xml:space="preserve">(Tsai et al. 2019)</w:t>
      </w:r>
      <w:r>
        <w:t xml:space="preserve">. GMU/TFN/gate mix unimodal class scores; Arevalo’s</w:t>
      </w:r>
      <w: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are unused.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Next-day BIST100 direction on VESTA-Public (test n=308). Mean \pm 1.96 se, five seeds. Rows are ordered by macro-F1. MiniLM, BGE-M3 and ViT are unimodal probes. Mixers: GMU (Arevalo et al. 2017), TFN (Zadeh et al. 2017), MulT-style (Tsai et al. 2019). GMU/TFN/gate mix unimodal class scores; Arevalo’s W_v,W_t,W_z are unused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Macro-F1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fusion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53.0</m:t>
              </m:r>
              <m:r>
                <m:rPr>
                  <m:sty m:val="p"/>
                </m:rPr>
                <m:t>±</m:t>
              </m:r>
              <m:r>
                <m:t>2.2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52.4</m:t>
              </m:r>
              <m:r>
                <m:rPr>
                  <m:sty m:val="p"/>
                </m:rPr>
                <m:t>±</m:t>
              </m:r>
              <m:r>
                <m:t>2.3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52.1</m:t>
              </m:r>
              <m:r>
                <m:rPr>
                  <m:sty m:val="p"/>
                </m:rPr>
                <m:t>±</m:t>
              </m:r>
              <m:r>
                <m:t>2.1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51.7</m:t>
              </m:r>
              <m:r>
                <m:rPr>
                  <m:sty m:val="p"/>
                </m:rPr>
                <m:t>±</m:t>
              </m:r>
              <m:r>
                <m:t>2.1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Vision-only (</w:t>
            </w:r>
            <m:oMath>
              <m:r>
                <m:t>24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t xml:space="preserve"> </w:t>
            </w:r>
            <w:r>
              <w:t xml:space="preserve">MLP)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52.9</m:t>
              </m:r>
              <m:r>
                <m:rPr>
                  <m:sty m:val="p"/>
                </m:rPr>
                <m:t>±</m:t>
              </m:r>
              <m:r>
                <m:t>2.3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51.4</m:t>
              </m:r>
              <m:r>
                <m:rPr>
                  <m:sty m:val="p"/>
                </m:rPr>
                <m:t>±</m:t>
              </m:r>
              <m:r>
                <m:t>2.6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 gate (score-space)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51.8</m:t>
              </m:r>
              <m:r>
                <m:rPr>
                  <m:sty m:val="p"/>
                </m:rPr>
                <m:t>±</m:t>
              </m:r>
              <m:r>
                <m:t>1.7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51.4</m:t>
              </m:r>
              <m:r>
                <m:rPr>
                  <m:sty m:val="p"/>
                </m:rPr>
                <m:t>±</m:t>
              </m:r>
              <m:r>
                <m:t>1.8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Concatenation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52.8</m:t>
              </m:r>
              <m:r>
                <m:rPr>
                  <m:sty m:val="p"/>
                </m:rPr>
                <m:t>±</m:t>
              </m:r>
              <m:r>
                <m:t>1.8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51.1</m:t>
              </m:r>
              <m:r>
                <m:rPr>
                  <m:sty m:val="p"/>
                </m:rPr>
                <m:t>±</m:t>
              </m:r>
              <m:r>
                <m:t>2.3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Text-only (MiniLM KAP)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53.0</m:t>
              </m:r>
              <m:r>
                <m:rPr>
                  <m:sty m:val="p"/>
                </m:rPr>
                <m:t>±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50.7</m:t>
              </m:r>
              <m:r>
                <m:rPr>
                  <m:sty m:val="p"/>
                </m:rPr>
                <m:t>±</m:t>
              </m:r>
              <m:r>
                <m:t>1.9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50.6</m:t>
              </m:r>
              <m:r>
                <m:rPr>
                  <m:sty m:val="p"/>
                </m:rPr>
                <m:t>±</m:t>
              </m:r>
              <m:r>
                <m:t>2.4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50.6</m:t>
              </m:r>
              <m:r>
                <m:rPr>
                  <m:sty m:val="p"/>
                </m:rPr>
                <m:t>±</m:t>
              </m:r>
              <m:r>
                <m:t>2.4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Vision-only (frozen ViT-B/16)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50.9</m:t>
              </m:r>
              <m:r>
                <m:rPr>
                  <m:sty m:val="p"/>
                </m:rPr>
                <m:t>±</m:t>
              </m:r>
              <m:r>
                <m:t>1.4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50.3</m:t>
              </m:r>
              <m:r>
                <m:rPr>
                  <m:sty m:val="p"/>
                </m:rPr>
                <m:t>±</m:t>
              </m:r>
              <m:r>
                <m:t>1.6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Text-only (public BGE-M3)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51.1</m:t>
              </m:r>
              <m:r>
                <m:rPr>
                  <m:sty m:val="p"/>
                </m:rPr>
                <m:t>±</m:t>
              </m:r>
              <m:r>
                <m:t>1.9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50.2</m:t>
              </m:r>
              <m:r>
                <m:rPr>
                  <m:sty m:val="p"/>
                </m:rPr>
                <m:t>±</m:t>
              </m:r>
              <m:r>
                <m:t>2.1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MulT-style (CPU, one layer)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50.2</m:t>
              </m:r>
              <m:r>
                <m:rPr>
                  <m:sty m:val="p"/>
                </m:rPr>
                <m:t>±</m:t>
              </m:r>
              <m:r>
                <m:t>3.1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48.4</m:t>
              </m:r>
              <m:r>
                <m:rPr>
                  <m:sty m:val="p"/>
                </m:rPr>
                <m:t>±</m:t>
              </m:r>
              <m:r>
                <m:t>3.0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Text-only (macro + KAP)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52.1</m:t>
              </m:r>
              <m:r>
                <m:rPr>
                  <m:sty m:val="p"/>
                </m:rPr>
                <m:t>±</m:t>
              </m:r>
              <m:r>
                <m:t>2.4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47.3</m:t>
              </m:r>
              <m:r>
                <m:rPr>
                  <m:sty m:val="p"/>
                </m:rPr>
                <m:t>±</m:t>
              </m:r>
              <m:r>
                <m:t>1.5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OHLCV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50.6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41.8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Majority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52.3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34.3</m:t>
              </m:r>
              <m:r>
                <m:rPr>
                  <m:sty m:val="p"/>
                </m:rPr>
                <m:t>±</m:t>
              </m:r>
              <m:r>
                <m:t>0.0</m:t>
              </m:r>
            </m:oMath>
          </w:p>
        </w:tc>
      </w:tr>
    </w:tbl>
    <w:bookmarkEnd w:id="52"/>
    <w:p>
      <w:pPr>
        <w:pStyle w:val="CaptionedFigure"/>
      </w:pPr>
      <w:r>
        <w:drawing>
          <wp:inline>
            <wp:extent cx="4907280" cy="27884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orward_f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788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Macro-F1 for mixers and sklearn unimodal rows of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. MiniLM, BGE-M3 and ViT are in the table.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95% CI is in the table.</w:t>
      </w:r>
    </w:p>
    <w:p>
      <w:pPr>
        <w:pStyle w:val="BodyText"/>
      </w:pPr>
      <w:r>
        <w:t xml:space="preserve">Replacing the gate with a fixed mean changes five-seed F1 from</w:t>
      </w:r>
      <w:r>
        <w:t xml:space="preserve"> </w:t>
      </w:r>
      <m:oMath>
        <m:r>
          <m:t>51.4</m:t>
        </m:r>
        <m:r>
          <m:rPr>
            <m:sty m:val="p"/>
          </m:rPr>
          <m:t>±</m:t>
        </m:r>
        <m:r>
          <m:t>1.8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52.4</m:t>
        </m:r>
        <m:r>
          <m:rPr>
            <m:sty m:val="p"/>
          </m:rPr>
          <m:t>±</m:t>
        </m:r>
        <m:r>
          <m:t>2.3</m:t>
        </m:r>
      </m:oMath>
      <w:r>
        <w:t xml:space="preserve"> </w:t>
      </w:r>
      <w:r>
        <w:t xml:space="preserve">(seed-0 McNemar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</m:t>
        </m:r>
      </m:oMath>
      <w:r>
        <w:t xml:space="preserve">).</w:t>
      </w:r>
    </w:p>
    <w:bookmarkEnd w:id="56"/>
    <w:bookmarkStart w:id="58" w:name="sec:vlm"/>
    <w:p>
      <w:pPr>
        <w:pStyle w:val="Heading2"/>
      </w:pPr>
      <w:r>
        <w:t xml:space="preserve">Zero-shot Pix2Struct and MatCha</w:t>
      </w:r>
    </w:p>
    <w:p>
      <w:pPr>
        <w:pStyle w:val="FirstParagraph"/>
      </w:pPr>
      <w:r>
        <w:t xml:space="preserve">We run zero-shot DePlot (Pix2Struct chart-to-table) </w:t>
      </w:r>
      <w:r>
        <w:t xml:space="preserve">(Lee et al. 2023)</w:t>
      </w:r>
      <w:r>
        <w:t xml:space="preserve"> </w:t>
      </w:r>
      <w:r>
        <w:t xml:space="preserve">and MatCha-ChartQA </w:t>
      </w:r>
      <w:r>
        <w:t xml:space="preserve">(Liu et al. 2023)</w:t>
      </w:r>
      <w:r>
        <w:t xml:space="preserve"> </w:t>
      </w:r>
      <w:r>
        <w:t xml:space="preserve">on CPU matplotlib screenshots of the full test window (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), with no fine-tune. Calls are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</m:sub>
            </m:sSub>
          </m:e>
        </m:d>
      </m:oMath>
      <w:r>
        <w:t xml:space="preserve">. Table </w:t>
      </w:r>
      <w:hyperlink w:anchor="tab:vlm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also scores the numeric window trend of the input OHLC, which is still not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 DePlot parses 307/308 images and recovers that trend on 77.9% of days; next-day accuracy is 52.9%. MatCha-ChartQA often returns the bar index (parse rate 166/308) and matches the majority class on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bookmarkStart w:id="57" w:name="tab:vlm"/>
    <w:p>
      <w:pPr>
        <w:pStyle w:val="TableCaption"/>
      </w:pPr>
      <w:r>
        <w:t xml:space="preserve">Zero-shot CPU screenshot VLMs on the full test window (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), with no fine-tune.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Zero-shot CPU screenshot VLMs on the full test window (n=308), with no fine-tune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Acc. vs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Acc. vs window trend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Majority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34.3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 window trend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51.6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49.5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DePlot (Pix2Struct)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51.9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77.9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MatCha-ChartQA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52.3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46.0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58.4</m:t>
              </m:r>
            </m:oMath>
          </w:p>
        </w:tc>
      </w:tr>
    </w:tbl>
    <w:bookmarkEnd w:id="57"/>
    <w:bookmarkEnd w:id="58"/>
    <w:bookmarkStart w:id="63" w:name="sec:tiers"/>
    <w:p>
      <w:pPr>
        <w:pStyle w:val="Heading2"/>
      </w:pPr>
      <w:r>
        <w:t xml:space="preserve">Per-tier measurement</w:t>
      </w:r>
    </w:p>
    <w:p>
      <w:pPr>
        <w:pStyle w:val="FirstParagraph"/>
      </w:pPr>
      <w:r>
        <w:t xml:space="preserve">Table </w:t>
      </w:r>
      <w:hyperlink w:anchor="tab:tier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and Fig. </w:t>
      </w:r>
      <w:hyperlink w:anchor="fig:tier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measure the Temporal Orchestration Layer. Latencies 0.9 / 2.1 / 3.4 s are declared budgets, not wall-clock. On seed 0, T1 covers 32.5% of days (60.0% among emitted calls; 55.2% after majority fill). T3 and T10 always emit (coverage 100%); accuracy among those calls is 49.7%. Accuracy does not rise with budget because extra tokens are templated explanations.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&lt;</m:t>
        </m:r>
        <m:r>
          <m:t>7</m:t>
        </m:r>
        <m:r>
          <m:rPr>
            <m:sty m:val="p"/>
          </m:rPr>
          <m:t>%</m:t>
        </m:r>
      </m:oMath>
      <w:r>
        <w:t xml:space="preserve"> </w:t>
      </w:r>
      <w:r>
        <w:t xml:space="preserve">for every tier;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60.3 / 82.1 / 93.6% on filler-padded templates.</w:t>
      </w:r>
    </w:p>
    <w:bookmarkStart w:id="59" w:name="tab:tiers"/>
    <w:p>
      <w:pPr>
        <w:pStyle w:val="TableCaption"/>
      </w:pPr>
      <w:r>
        <w:t xml:space="preserve">Temporal Orchestration Layer on seed 0. Latency is a declared budget, not measured GPU time. Acc. is among emitted calls; T1 overall accuracy with majority fill is 55.2%.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emporal Orchestration Layer on seed 0. Latency is a declared budget, not measured GPU time. Acc. is among emitted calls; T1 overall accuracy with majority fill is 55.2%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Cov.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Lat. 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Acc.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 briefing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93.6%</w:t>
            </w:r>
          </w:p>
        </w:tc>
      </w:tr>
    </w:tbl>
    <w:bookmarkEnd w:id="59"/>
    <w:p>
      <w:pPr>
        <w:pStyle w:val="CaptionedFigure"/>
      </w:pPr>
      <w:r>
        <w:drawing>
          <wp:inline>
            <wp:extent cx="4587240" cy="194756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tier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194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length-normalized noise of the delivered briefing (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). Right: declared latency and coverage for T1, T3 and T10.</w:t>
      </w:r>
    </w:p>
    <w:bookmarkEnd w:id="63"/>
    <w:bookmarkStart w:id="65" w:name="decision-quality"/>
    <w:p>
      <w:pPr>
        <w:pStyle w:val="Heading2"/>
      </w:pPr>
      <w:r>
        <w:t xml:space="preserve">Decision quality</w:t>
      </w:r>
    </w:p>
    <w:p>
      <w:pPr>
        <w:pStyle w:val="FirstParagraph"/>
      </w:pPr>
      <w:r>
        <w:t xml:space="preserve">Table </w:t>
      </w:r>
      <w:hyperlink w:anchor="tab:bt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asks whether acting on the output would have helped. In the May 2025 to August 2026 test window BIST100 buy-and-hold returned</w:t>
      </w:r>
      <w:r>
        <w:t xml:space="preserve"> </w:t>
      </w:r>
      <m:oMath>
        <m:r>
          <m:rPr>
            <m:sty m:val="p"/>
          </m:rPr>
          <m:t>+</m:t>
        </m:r>
        <m:r>
          <m:t>56.3</m:t>
        </m:r>
        <m:r>
          <m:rPr>
            <m:sty m:val="p"/>
          </m:rPr>
          <m:t>%</m:t>
        </m:r>
      </m:oMath>
      <w:r>
        <w:t xml:space="preserve"> </w:t>
      </w:r>
      <w:r>
        <w:t xml:space="preserve">(Sharpe 1.69). Every seed-0 overlay we tried underperformed that long-only benchmark after 5 bp costs. Vision-only (Sharpe 0.37) and the scalar gate (0.33) were positive but far below BH; GMU and tabular were negative. A bull-market holdout is a hard test for a long/short overlay </w:t>
      </w:r>
      <w:r>
        <w:t xml:space="preserve">(Harvey, Liu, and Zhu 2016)</w:t>
      </w:r>
      <w:r>
        <w:t xml:space="preserve">.</w:t>
      </w:r>
    </w:p>
    <w:bookmarkStart w:id="64" w:name="tab:bt"/>
    <w:p>
      <w:pPr>
        <w:pStyle w:val="TableCaption"/>
      </w:pPr>
      <w:r>
        <w:t xml:space="preserve">Paper-trading overlay on seed-0 calls, chronological test window, 5 bp costs. BH is long-only BIST100.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aper-trading overlay on seed-0 calls, chronological test window, 5 bp costs. BH is long-only BIST100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Hit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 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Buy-and-hold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Vision-only overlay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Scalar-gate overlay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overlay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GMU overlay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21.8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27.4%</w:t>
            </w:r>
          </w:p>
        </w:tc>
      </w:tr>
    </w:tbl>
    <w:bookmarkEnd w:id="64"/>
    <w:bookmarkEnd w:id="65"/>
    <w:bookmarkEnd w:id="66"/>
    <w:bookmarkStart w:id="67" w:name="sec:user"/>
    <w:p>
      <w:pPr>
        <w:pStyle w:val="Heading1"/>
      </w:pPr>
      <w:r>
        <w:t xml:space="preserve">Cognitive protocol</w:t>
      </w:r>
    </w:p>
    <w:p>
      <w:pPr>
        <w:pStyle w:val="FirstParagraph"/>
      </w:pPr>
      <w:r>
        <w:t xml:space="preserve">The cognitive work has two layers. The first is computational and is already in Table </w:t>
      </w:r>
      <w:hyperlink w:anchor="tab:tiers">
        <w:r>
          <w:rPr>
            <w:rStyle w:val="Hyperlink"/>
          </w:rPr>
          <w:t xml:space="preserve">6</w:t>
        </w:r>
      </w:hyperlink>
      <w:r>
        <w:t xml:space="preserve">. A BIST retail user on a mobile desk has about one, three or ten minutes between a KAP drop and an order. That clock is the independent variable. The dependent quantities are coverage (how often the system speaks), declared latency, tokens delivered, and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(what fraction of the delivered briefing is non-actionable). The token bags are built from the day’s finance flags: session return, USD/TRY, gold, realized vol, a KAP digest, and, on T3/T10, a historical analogue and a hedge sketch. Those counts measure load on the payload. They do not measure load on a person </w:t>
      </w:r>
      <w:r>
        <w:t xml:space="preserve">(Gajos et al. 2006; Findlater and Gajos 2009)</w:t>
      </w:r>
      <w:r>
        <w:t xml:space="preserve">.</w:t>
      </w:r>
    </w:p>
    <w:p>
      <w:pPr>
        <w:pStyle w:val="BodyText"/>
      </w:pPr>
      <w:r>
        <w:t xml:space="preserve">The second layer is a human protocol in</w:t>
      </w:r>
      <w:r>
        <w:t xml:space="preserve"> </w:t>
      </w:r>
      <w:r>
        <w:rPr>
          <w:rStyle w:val="VerbatimChar"/>
        </w:rPr>
        <w:t xml:space="preserve">study/</w:t>
      </w:r>
      <w:r>
        <w:t xml:space="preserve">. Twelve retail-account holders, within-subject, see eight sealed snapshots drawn from the public test window of VESTA-Public (two XU100 sessions and six constituents: SASA, SISE, YKBNK, TAVHL, AKBNK, PETKM). Each snapshot is a real calendar day. The data that arrive on screen are the session return, the USD/TRY and gold moves, RSI, and the KAP list teasers published that day. The sealed gold is the subsequent week’s realized direction of that name. Participants see one snapshot at a time under a 1-, 3- or 10-minute cap, in one of three information conditions: the raw KAP+OHLC feed, a unimodal text or chart, or the VESTA tier that matches the cap. Order is Latin-squared. Outcomes are the week-direction call, time-to-decision in seconds, six NASA-TLX items on a 0-20 scale (mental demand, physical demand, time pressure, perceived success, effort, frustration), and a 7-point trust item (</w:t>
      </w:r>
      <w:r>
        <w:t xml:space="preserve">“</w:t>
      </w:r>
      <w:r>
        <w:t xml:space="preserve">I would act on this briefing with real money</w:t>
      </w:r>
      <w:r>
        <w:t xml:space="preserve">”</w:t>
      </w:r>
      <w:r>
        <w:t xml:space="preserve">). Consent and the bilingual instrument are in</w:t>
      </w:r>
      <w:r>
        <w:t xml:space="preserve"> </w:t>
      </w:r>
      <w:r>
        <w:rPr>
          <w:rStyle w:val="VerbatimChar"/>
        </w:rPr>
        <w:t xml:space="preserve">study/</w:t>
      </w:r>
      <w:r>
        <w:t xml:space="preserve">.</w:t>
      </w:r>
    </w:p>
    <w:p>
      <w:pPr>
        <w:pStyle w:val="BodyText"/>
      </w:pPr>
      <w:r>
        <w:t xml:space="preserve">Responses have not been collected. A model dry-run on the sealed gold hits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name-level weeks for the raw session sign; index mixers are scored only on the two XU100 weeks (text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</m:t>
        </m:r>
      </m:oMath>
      <w:r>
        <w:t xml:space="preserve">, gated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). NASA-TLX and trust stay blank.</w:t>
      </w:r>
    </w:p>
    <w:bookmarkEnd w:id="67"/>
    <w:bookmarkStart w:id="68" w:name="discussion-and-limitation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t xml:space="preserve">VESTA’s contribution is a time-budgeted briefing for BIST retail users and the evaluation that scores it: time as a budget, leakage made visible, delivery measured per tier, and action compared with buy-and-hold. DataClaw0, VisualClaw and gated delivery are the engineering stack. Next-day accuracy is modest and the overlay loses to buy-and-hold on a bull holdout. The time budget shows up in the tier table: T1 stays silent on most days; T3 and T10 always fire and add templated tokens, so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rises with depth.</w:t>
      </w:r>
    </w:p>
    <w:p>
      <w:pPr>
        <w:pStyle w:val="BodyText"/>
      </w:pPr>
      <w:r>
        <w:t xml:space="preserve">Public BGE-M3 is run on KAP list teasers; full disclosure-detail pages are not in the package. Frozen ViT-B/16 does not beat the</w:t>
      </w:r>
      <w:r>
        <w:t xml:space="preserve"> </w:t>
      </w:r>
      <m:oMath>
        <m:r>
          <m:t>24</m:t>
        </m:r>
        <m:r>
          <m:rPr>
            <m:sty m:val="p"/>
          </m:rPr>
          <m:t>×</m:t>
        </m:r>
        <m:r>
          <m:t>24</m:t>
        </m:r>
      </m:oMath>
      <w:r>
        <w:t xml:space="preserve"> </w:t>
      </w:r>
      <w:r>
        <w:t xml:space="preserve">MLP. DePlot and MatCha are zero-shot on 308 days. The 12-participant NASA-TLX study has no responses. The public chart uses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Information noise and tier latencies are simulated.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mixers fuse unimodal class scores; Arevalo’s</w:t>
      </w:r>
      <w: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are unused.</w:t>
      </w:r>
    </w:p>
    <w:bookmarkEnd w:id="68"/>
    <w:bookmarkStart w:id="12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paper’s contribution is a briefing stack that gives a BIST retail user KAP list text and a 40-bar candlestick under a 1-, 3- or 10-minute budget, together with an evaluation that treats that clock as a compute budget and measures leakage, per-tier delivery, and action against buy-and-hold. Financial LLM agents such as FinMem organise memory by how old a fact is and are scored as traders </w:t>
      </w:r>
      <w:r>
        <w:t xml:space="preserve">(Yu et al. 2024)</w:t>
      </w:r>
      <w:r>
        <w:t xml:space="preserve">. Chart-reading and fusion papers typically introduce a new mixer or report a high F1 on a label computed from the same day’s OHLCV. Conventional decision-support systems keep text and charts in separate pipelines and emit the same density whether the user has one minute or ten </w:t>
      </w:r>
      <w:r>
        <w:t xml:space="preserve">(Eppler and Mengis 2004; Sweller 1988)</w:t>
      </w:r>
      <w:r>
        <w:t xml:space="preserve">. DataClaw0 retrieves KAP list text, VisualClaw reads the candlestick, a standard gate fuses the two streams, and the Temporal Orchestration Layer spends the budget by changing chain depth. The protocol scores next-day BIST100 direction, places a tabular OHLCV baseline beside every chart encoder, measures coverage, declared latency, tokens and length-normalized noise per tier, and paper-trades a long/short overlay against buy-and-hold. VESTA-Public (37</w:t>
      </w:r>
      <w:r>
        <w:t xml:space="preserve">,</w:t>
      </w:r>
      <w:r>
        <w:t xml:space="preserve">046 events, KAP list teasers, chronological splits) makes those numbers reproducible.</w:t>
      </w:r>
    </w:p>
    <w:p>
      <w:pPr>
        <w:pStyle w:val="BodyText"/>
      </w:pPr>
      <w:r>
        <w:t xml:space="preserve">On the public test window (</w:t>
      </w:r>
      <m:oMath>
        <m:r>
          <m:t>n</m:t>
        </m:r>
        <m:r>
          <m:rPr>
            <m:sty m:val="p"/>
          </m:rPr>
          <m:t>=</m:t>
        </m:r>
        <m:r>
          <m:t>308</m:t>
        </m:r>
      </m:oMath>
      <w:r>
        <w:t xml:space="preserve">) the benefit is the protocol itself: leakage is visible, tiers are measured, and action is scored against buy-and-hold. A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realized-vol flag is recovered at 100% F1 by a closed-form OHLCV rule, so the headline label is next-day direction. No mixer beats GMU on that task (mean fusion is the point estimate,</w:t>
      </w:r>
      <w:r>
        <w:t xml:space="preserve"> </w:t>
      </w:r>
      <m:oMath>
        <m:r>
          <m:t>53.0</m:t>
        </m:r>
        <m:r>
          <m:rPr>
            <m:sty m:val="p"/>
          </m:rPr>
          <m:t>±</m:t>
        </m:r>
        <m:r>
          <m:t>2.2</m:t>
        </m:r>
      </m:oMath>
      <w:r>
        <w:t xml:space="preserve"> </w:t>
      </w:r>
      <w:r>
        <w:t xml:space="preserve">accuracy /</w:t>
      </w:r>
      <w:r>
        <w:t xml:space="preserve"> </w:t>
      </w:r>
      <m:oMath>
        <m:r>
          <m:t>52.4</m:t>
        </m:r>
        <m:r>
          <m:rPr>
            <m:sty m:val="p"/>
          </m:rPr>
          <m:t>±</m:t>
        </m:r>
        <m:r>
          <m:t>2.3</m:t>
        </m:r>
      </m:oMath>
      <w:r>
        <w:t xml:space="preserve"> </w:t>
      </w:r>
      <w:r>
        <w:t xml:space="preserve">macro-F1; seed-0 McNemar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0.46</m:t>
        </m:r>
      </m:oMath>
      <w:r>
        <w:t xml:space="preserve">). A long/short overlay loses to buy-and-hold in the 2025-2026 window (BH Sharpe 1.69 versus at most 0.37). What the time budget changes is coverage (T1 32.5% on seed 0), declared latency, tokens, and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(60.3 / 82.1 / 93.6% on templated bags). Those four measurements are what the protocol adds: time as a budget, leakage made visible, delivery scored per tier, and action compared with buy-and-hold.</w:t>
      </w:r>
    </w:p>
    <w:p>
      <w:pPr>
        <w:pStyle w:val="BodyText"/>
      </w:pPr>
      <w:r>
        <w:t xml:space="preserve">Three items remain open. The computational cognitive measurement is Table </w:t>
      </w:r>
      <w:hyperlink w:anchor="tab:tiers">
        <w:r>
          <w:rPr>
            <w:rStyle w:val="Hyperlink"/>
          </w:rPr>
          <w:t xml:space="preserve">6</w:t>
        </w:r>
      </w:hyperlink>
      <w:r>
        <w:t xml:space="preserve">; the 12-participant NASA-TLX study in</w:t>
      </w:r>
      <w:r>
        <w:t xml:space="preserve"> </w:t>
      </w:r>
      <w:r>
        <w:rPr>
          <w:rStyle w:val="VerbatimChar"/>
        </w:rPr>
        <w:t xml:space="preserve">study/</w:t>
      </w:r>
      <w:r>
        <w:t xml:space="preserve"> </w:t>
      </w:r>
      <w:r>
        <w:t xml:space="preserve">has no responses, so human load and trust are unspecified. There is no three-annotator gold set; polarity is silver codebook output (Fleiss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0.50</m:t>
        </m:r>
      </m:oMath>
      <w:r>
        <w:t xml:space="preserve"> </w:t>
      </w:r>
      <w:r>
        <w:t xml:space="preserve">on the 10k slice). Public text is KAP list teasers; full disclosure-detail pages are absent. Table </w:t>
      </w:r>
      <w:hyperlink w:anchor="tab:fw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mixers fuse unimodal class scores; Arevalo’s</w:t>
      </w:r>
      <w: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are unused. The public chart is bars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t xml:space="preserve"> </w:t>
      </w:r>
      <w:r>
        <w:t xml:space="preserve">and tier latencies are simulated, and DePlot / MatCha remain zero-shot on 308 screenshots. Those are the next measurements.</w:t>
      </w:r>
    </w:p>
    <w:bookmarkStart w:id="121" w:name="disclosure-of-interests."/>
    <w:p>
      <w:pPr>
        <w:pStyle w:val="Heading3"/>
      </w:pPr>
      <w:r>
        <w:t xml:space="preserve">Disclosure of Interests.</w:t>
      </w:r>
    </w:p>
    <w:p>
      <w:pPr>
        <w:pStyle w:val="FirstParagraph"/>
      </w:pPr>
      <w:r>
        <w:t xml:space="preserve">The authors declare that they have no competing interests relevant to the content of this article. P.G. and H.B. are employed by Infina Software Development Inc., which operates a BIST retail platform; the public replication does not use proprietary KAP text.</w:t>
      </w:r>
    </w:p>
    <w:bookmarkStart w:id="120" w:name="refs"/>
    <w:bookmarkStart w:id="70" w:name="ref-akturk2026bist"/>
    <w:p>
      <w:pPr>
        <w:pStyle w:val="Bibliography"/>
      </w:pPr>
      <w:r>
        <w:t xml:space="preserve">Akturk, Zübeyir, Erdal Kılıç, Ömer Algorabi, Mesut Ulu, Yusuf Sait Türkan, and Ersin Namlı. 2026.</w:t>
      </w:r>
      <w:r>
        <w:t xml:space="preserve"> </w:t>
      </w:r>
      <w:r>
        <w:t xml:space="preserve">“Real-Time Forecast of</w:t>
      </w:r>
      <w:r>
        <w:t xml:space="preserve"> </w:t>
      </w:r>
      <w:r>
        <w:t xml:space="preserve">BIST100</w:t>
      </w:r>
      <w:r>
        <w:t xml:space="preserve"> </w:t>
      </w:r>
      <w:r>
        <w:t xml:space="preserve">Index Under Market Volatility and Uncertainty.”</w:t>
      </w:r>
      <w:r>
        <w:t xml:space="preserve"> </w:t>
      </w:r>
      <w:r>
        <w:rPr>
          <w:iCs/>
          <w:i/>
        </w:rPr>
        <w:t xml:space="preserve">Computational Economics</w:t>
      </w:r>
      <w:r>
        <w:t xml:space="preserve"> </w:t>
      </w:r>
      <w:r>
        <w:t xml:space="preserve">67 (4): 3249–74.</w:t>
      </w:r>
      <w:r>
        <w:t xml:space="preserve"> </w:t>
      </w:r>
      <w:hyperlink r:id="rId69">
        <w:r>
          <w:rPr>
            <w:rStyle w:val="Hyperlink"/>
          </w:rPr>
          <w:t xml:space="preserve">https://doi.org/10.1007/s10614-025-10986-1</w:t>
        </w:r>
      </w:hyperlink>
      <w:r>
        <w:t xml:space="preserve">.</w:t>
      </w:r>
    </w:p>
    <w:bookmarkEnd w:id="70"/>
    <w:bookmarkStart w:id="72" w:name="ref-arevalo2017gmu"/>
    <w:p>
      <w:pPr>
        <w:pStyle w:val="Bibliography"/>
      </w:pPr>
      <w:r>
        <w:t xml:space="preserve">Arevalo, John, Thamar Solorio, Manuel Montes-y-Gómez, and Fabio A. González. 2017.</w:t>
      </w:r>
      <w:r>
        <w:t xml:space="preserve"> </w:t>
      </w:r>
      <w:r>
        <w:t xml:space="preserve">“Gated Multimodal Units for Information Fusion.”</w:t>
      </w:r>
      <w:r>
        <w:t xml:space="preserve"> </w:t>
      </w:r>
      <w:r>
        <w:rPr>
          <w:iCs/>
          <w:i/>
        </w:rPr>
        <w:t xml:space="preserve">arXiv Preprint arXiv:1702.01992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https://doi.org/10.48550/arXiv.1702.01992</w:t>
        </w:r>
      </w:hyperlink>
      <w:r>
        <w:t xml:space="preserve">.</w:t>
      </w:r>
    </w:p>
    <w:bookmarkEnd w:id="72"/>
    <w:bookmarkStart w:id="74" w:name="ref-chen2024m3"/>
    <w:p>
      <w:pPr>
        <w:pStyle w:val="Bibliography"/>
      </w:pPr>
      <w:r>
        <w:t xml:space="preserve">Chen, Jianlyu, Shitao Xiao, Peitian Zhang, Kun Luo, Defu Lian, and Zheng Liu. 2024.</w:t>
      </w:r>
      <w:r>
        <w:t xml:space="preserve"> </w:t>
      </w:r>
      <w:r>
        <w:t xml:space="preserve">“</w:t>
      </w:r>
      <w:r>
        <w:t xml:space="preserve">M</w:t>
      </w:r>
      <w:r>
        <w:t xml:space="preserve">3-Embedding: Multi-Linguality, Multi-Functionality, Multi-Granularity Text Embeddings Through Self-Knowledge Distillation.”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</w:t>
      </w:r>
      <w:r>
        <w:rPr>
          <w:iCs/>
          <w:i/>
        </w:rPr>
        <w:t xml:space="preserve"> </w:t>
      </w:r>
      <w:r>
        <w:rPr>
          <w:iCs/>
          <w:i/>
        </w:rPr>
        <w:t xml:space="preserve">ACL</w:t>
      </w:r>
      <w:r>
        <w:rPr>
          <w:iCs/>
          <w:i/>
        </w:rPr>
        <w:t xml:space="preserve"> </w:t>
      </w:r>
      <w:r>
        <w:rPr>
          <w:iCs/>
          <w:i/>
        </w:rPr>
        <w:t xml:space="preserve">2024</w:t>
      </w:r>
      <w:r>
        <w:t xml:space="preserve">, 2318–35.</w:t>
      </w:r>
      <w:r>
        <w:t xml:space="preserve"> </w:t>
      </w:r>
      <w:hyperlink r:id="rId73">
        <w:r>
          <w:rPr>
            <w:rStyle w:val="Hyperlink"/>
          </w:rPr>
          <w:t xml:space="preserve">https://doi.org/10.18653/v1/2024.findings-acl.137</w:t>
        </w:r>
      </w:hyperlink>
      <w:r>
        <w:t xml:space="preserve">.</w:t>
      </w:r>
    </w:p>
    <w:bookmarkEnd w:id="74"/>
    <w:bookmarkStart w:id="76" w:name="ref-cohen1960kappa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Cs/>
          <w:i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75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76"/>
    <w:bookmarkStart w:id="78" w:name="ref-dietterich1998approx"/>
    <w:p>
      <w:pPr>
        <w:pStyle w:val="Bibliography"/>
      </w:pPr>
      <w:r>
        <w:t xml:space="preserve">Dietterich, Thomas G. 1998.</w:t>
      </w:r>
      <w:r>
        <w:t xml:space="preserve"> </w:t>
      </w:r>
      <w:r>
        <w:t xml:space="preserve">“Approximate Statistical Tests for Comparing Supervised Classification Learning Algorithms.”</w:t>
      </w:r>
      <w:r>
        <w:t xml:space="preserve"> </w:t>
      </w:r>
      <w:r>
        <w:rPr>
          <w:iCs/>
          <w:i/>
        </w:rPr>
        <w:t xml:space="preserve">Neural Computation</w:t>
      </w:r>
      <w:r>
        <w:t xml:space="preserve"> </w:t>
      </w:r>
      <w:r>
        <w:t xml:space="preserve">10 (7): 1895–1923.</w:t>
      </w:r>
      <w:r>
        <w:t xml:space="preserve"> </w:t>
      </w:r>
      <w:hyperlink r:id="rId77">
        <w:r>
          <w:rPr>
            <w:rStyle w:val="Hyperlink"/>
          </w:rPr>
          <w:t xml:space="preserve">https://doi.org/10.1162/089976698300017197</w:t>
        </w:r>
      </w:hyperlink>
      <w:r>
        <w:t xml:space="preserve">.</w:t>
      </w:r>
    </w:p>
    <w:bookmarkEnd w:id="78"/>
    <w:bookmarkStart w:id="79" w:name="ref-dosovitskiy2021vit"/>
    <w:p>
      <w:pPr>
        <w:pStyle w:val="Bibliography"/>
      </w:pPr>
      <w:r>
        <w:t xml:space="preserve">Dosovitskiy, Alexey, Lucas Beyer, Alexander Kolesnikov, Dirk Weissenborn, Xiaohua Zhai, Thomas Unterthiner, Mostafa Dehghani, et al. 2021.</w:t>
      </w:r>
      <w:r>
        <w:t xml:space="preserve"> </w:t>
      </w:r>
      <w:r>
        <w:t xml:space="preserve">“An Image Is Worth 16x16 Words: Transformers for Image Recognition at Scale.”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</w:t>
      </w:r>
    </w:p>
    <w:bookmarkEnd w:id="79"/>
    <w:bookmarkStart w:id="81" w:name="ref-eppler2004overload"/>
    <w:p>
      <w:pPr>
        <w:pStyle w:val="Bibliography"/>
      </w:pPr>
      <w:r>
        <w:t xml:space="preserve">Eppler, Martin J., and Jeanne Mengis. 2004.</w:t>
      </w:r>
      <w:r>
        <w:t xml:space="preserve"> </w:t>
      </w:r>
      <w:r>
        <w:t xml:space="preserve">“The Concept of Information Overload: A Review of Literature from Organization Science, Accounting, Marketing,</w:t>
      </w:r>
      <w:r>
        <w:t xml:space="preserve"> </w:t>
      </w:r>
      <w:r>
        <w:t xml:space="preserve">MIS</w:t>
      </w:r>
      <w:r>
        <w:t xml:space="preserve">, and Related Disciplines.”</w:t>
      </w:r>
      <w:r>
        <w:t xml:space="preserve"> </w:t>
      </w:r>
      <w:r>
        <w:rPr>
          <w:iCs/>
          <w:i/>
        </w:rPr>
        <w:t xml:space="preserve">The Information Society</w:t>
      </w:r>
      <w:r>
        <w:t xml:space="preserve"> </w:t>
      </w:r>
      <w:r>
        <w:t xml:space="preserve">20 (5): 325–44.</w:t>
      </w:r>
      <w:r>
        <w:t xml:space="preserve"> </w:t>
      </w:r>
      <w:hyperlink r:id="rId80">
        <w:r>
          <w:rPr>
            <w:rStyle w:val="Hyperlink"/>
          </w:rPr>
          <w:t xml:space="preserve">https://doi.org/10.1080/01972240490507974</w:t>
        </w:r>
      </w:hyperlink>
      <w:r>
        <w:t xml:space="preserve">.</w:t>
      </w:r>
    </w:p>
    <w:bookmarkEnd w:id="81"/>
    <w:bookmarkStart w:id="83" w:name="ref-findlater2009adaptive"/>
    <w:p>
      <w:pPr>
        <w:pStyle w:val="Bibliography"/>
      </w:pPr>
      <w:r>
        <w:t xml:space="preserve">Findlater, Leah, and Krzysztof Z. Gajos. 2009.</w:t>
      </w:r>
      <w:r>
        <w:t xml:space="preserve"> </w:t>
      </w:r>
      <w:r>
        <w:t xml:space="preserve">“Design Space and Evaluation Challenges of Adaptive Graphical User Interfaces.”</w:t>
      </w:r>
      <w:r>
        <w:t xml:space="preserve"> </w:t>
      </w:r>
      <w:r>
        <w:rPr>
          <w:iCs/>
          <w:i/>
        </w:rPr>
        <w:t xml:space="preserve">AI Magazine</w:t>
      </w:r>
      <w:r>
        <w:t xml:space="preserve"> </w:t>
      </w:r>
      <w:r>
        <w:t xml:space="preserve">30 (4): 68–73.</w:t>
      </w:r>
      <w:r>
        <w:t xml:space="preserve"> </w:t>
      </w:r>
      <w:hyperlink r:id="rId82">
        <w:r>
          <w:rPr>
            <w:rStyle w:val="Hyperlink"/>
          </w:rPr>
          <w:t xml:space="preserve">https://doi.org/10.1609/aimag.v30i4.2268</w:t>
        </w:r>
      </w:hyperlink>
      <w:r>
        <w:t xml:space="preserve">.</w:t>
      </w:r>
    </w:p>
    <w:bookmarkEnd w:id="83"/>
    <w:bookmarkStart w:id="85" w:name="ref-gajos2006exploring"/>
    <w:p>
      <w:pPr>
        <w:pStyle w:val="Bibliography"/>
      </w:pPr>
      <w:r>
        <w:t xml:space="preserve">Gajos, Krzysztof Z., Mary Czerwinski, Desney S. Tan, and Daniel S. Weld. 2006.</w:t>
      </w:r>
      <w:r>
        <w:t xml:space="preserve"> </w:t>
      </w:r>
      <w:r>
        <w:t xml:space="preserve">“Exploring the Design Space for Adaptive Graphical User Interfaces.”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Working Conference on Advanced Visual Interfaces (AVI ’06)</w:t>
      </w:r>
      <w:r>
        <w:t xml:space="preserve">, 201–8.</w:t>
      </w:r>
      <w:r>
        <w:t xml:space="preserve"> </w:t>
      </w:r>
      <w:hyperlink r:id="rId84">
        <w:r>
          <w:rPr>
            <w:rStyle w:val="Hyperlink"/>
          </w:rPr>
          <w:t xml:space="preserve">https://doi.org/10.1145/1133265.1133306</w:t>
        </w:r>
      </w:hyperlink>
      <w:r>
        <w:t xml:space="preserve">.</w:t>
      </w:r>
    </w:p>
    <w:bookmarkEnd w:id="85"/>
    <w:bookmarkStart w:id="87" w:name="ref-harvey2016and"/>
    <w:p>
      <w:pPr>
        <w:pStyle w:val="Bibliography"/>
      </w:pPr>
      <w:r>
        <w:t xml:space="preserve">Harvey, Campbell R., Yan Liu, and Heqing Zhu. 2016.</w:t>
      </w:r>
      <w:r>
        <w:t xml:space="preserve"> </w:t>
      </w:r>
      <w:r>
        <w:t xml:space="preserve">“</w:t>
      </w:r>
      <w:r>
        <w:t xml:space="preserve">…</w:t>
      </w:r>
      <w:r>
        <w:t xml:space="preserve"> </w:t>
      </w:r>
      <w:r>
        <w:t xml:space="preserve">and the Cross-Section of Expected Returns.”</w:t>
      </w:r>
      <w:r>
        <w:t xml:space="preserve"> </w:t>
      </w:r>
      <w:r>
        <w:rPr>
          <w:iCs/>
          <w:i/>
        </w:rPr>
        <w:t xml:space="preserve">The Review of Financial Studies</w:t>
      </w:r>
      <w:r>
        <w:t xml:space="preserve"> </w:t>
      </w:r>
      <w:r>
        <w:t xml:space="preserve">29 (1): 5–68.</w:t>
      </w:r>
      <w:r>
        <w:t xml:space="preserve"> </w:t>
      </w:r>
      <w:hyperlink r:id="rId86">
        <w:r>
          <w:rPr>
            <w:rStyle w:val="Hyperlink"/>
          </w:rPr>
          <w:t xml:space="preserve">https://doi.org/10.1093/rfs/hhv059</w:t>
        </w:r>
      </w:hyperlink>
      <w:r>
        <w:t xml:space="preserve">.</w:t>
      </w:r>
    </w:p>
    <w:bookmarkEnd w:id="87"/>
    <w:bookmarkStart w:id="89" w:name="ref-jiang2023reimagining"/>
    <w:p>
      <w:pPr>
        <w:pStyle w:val="Bibliography"/>
      </w:pPr>
      <w:r>
        <w:t xml:space="preserve">Jiang, Jingwen, Bryan Kelly, and Dacheng Xiu. 2023.</w:t>
      </w:r>
      <w:r>
        <w:t xml:space="preserve"> </w:t>
      </w:r>
      <w:r>
        <w:t xml:space="preserve">“(</w:t>
      </w:r>
      <w:r>
        <w:t xml:space="preserve">Re</w:t>
      </w:r>
      <w:r>
        <w:t xml:space="preserve">-)</w:t>
      </w:r>
      <w:r>
        <w:t xml:space="preserve">Imag</w:t>
      </w:r>
      <w:r>
        <w:t xml:space="preserve">(in)ing Price Trends.”</w:t>
      </w:r>
      <w:r>
        <w:t xml:space="preserve"> </w:t>
      </w:r>
      <w:r>
        <w:rPr>
          <w:iCs/>
          <w:i/>
        </w:rPr>
        <w:t xml:space="preserve">The Journal of Finance</w:t>
      </w:r>
      <w:r>
        <w:t xml:space="preserve"> </w:t>
      </w:r>
      <w:r>
        <w:t xml:space="preserve">78 (6): 3193–3249.</w:t>
      </w:r>
      <w:r>
        <w:t xml:space="preserve"> </w:t>
      </w:r>
      <w:hyperlink r:id="rId88">
        <w:r>
          <w:rPr>
            <w:rStyle w:val="Hyperlink"/>
          </w:rPr>
          <w:t xml:space="preserve">https://doi.org/10.1111/jofi.13268</w:t>
        </w:r>
      </w:hyperlink>
      <w:r>
        <w:t xml:space="preserve">.</w:t>
      </w:r>
    </w:p>
    <w:bookmarkEnd w:id="89"/>
    <w:bookmarkStart w:id="91" w:name="ref-jiang2022cmga"/>
    <w:p>
      <w:pPr>
        <w:pStyle w:val="Bibliography"/>
      </w:pPr>
      <w:r>
        <w:t xml:space="preserve">Jiang, Ming, and Shaoxiong Ji. 2022.</w:t>
      </w:r>
      <w:r>
        <w:t xml:space="preserve"> </w:t>
      </w:r>
      <w:r>
        <w:t xml:space="preserve">“Cross-Modality Gated Attention Fusion for Multimodal Sentiment Analysis.”</w:t>
      </w:r>
      <w:r>
        <w:t xml:space="preserve"> </w:t>
      </w:r>
      <w:r>
        <w:rPr>
          <w:iCs/>
          <w:i/>
        </w:rPr>
        <w:t xml:space="preserve">arXiv Preprint arXiv:2208.11893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https://doi.org/10.48550/arXiv.2208.11893</w:t>
        </w:r>
      </w:hyperlink>
      <w:r>
        <w:t xml:space="preserve">.</w:t>
      </w:r>
    </w:p>
    <w:bookmarkEnd w:id="91"/>
    <w:bookmarkStart w:id="92" w:name="ref-kang2023deficiency"/>
    <w:p>
      <w:pPr>
        <w:pStyle w:val="Bibliography"/>
      </w:pPr>
      <w:r>
        <w:t xml:space="preserve">Kang, Haoqiang, and Xiao-Yang Liu. 2023.</w:t>
      </w:r>
      <w:r>
        <w:t xml:space="preserve"> </w:t>
      </w:r>
      <w:r>
        <w:t xml:space="preserve">“Deficiency of Large Language Models in Finance: An Empirical Examination of Hallucination.”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 Can’t Believe It’s Not Better Workshop: Failure Modes in the Age of Foundation Models</w:t>
      </w:r>
      <w:r>
        <w:t xml:space="preserve">.</w:t>
      </w:r>
    </w:p>
    <w:bookmarkEnd w:id="92"/>
    <w:bookmarkStart w:id="93" w:name="ref-lee2023pix2struct"/>
    <w:p>
      <w:pPr>
        <w:pStyle w:val="Bibliography"/>
      </w:pPr>
      <w:r>
        <w:t xml:space="preserve">Lee, Kenton, Mandar Joshi, Iulia Raluca Turc, Hexiang Hu, Fangyu Liu, Julian Martin Eisenschlos, Urvashi Khandelwal, Peter Shaw, Ming-Wei Chang, and Kristina Toutanova. 2023.</w:t>
      </w:r>
      <w:r>
        <w:t xml:space="preserve"> </w:t>
      </w:r>
      <w:r>
        <w:t xml:space="preserve">“</w:t>
      </w:r>
      <w:r>
        <w:t xml:space="preserve">Pix2Struct</w:t>
      </w:r>
      <w:r>
        <w:t xml:space="preserve">: Screenshot Parsing as Pretraining for Visual Language Understanding.”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40th International Conference on Machine Learning</w:t>
      </w:r>
      <w:r>
        <w:t xml:space="preserve">, 202:18893–912. Proceedings of Machine Learning Research.</w:t>
      </w:r>
    </w:p>
    <w:bookmarkEnd w:id="93"/>
    <w:bookmarkStart w:id="94" w:name="ref-lewis2020rag"/>
    <w:p>
      <w:pPr>
        <w:pStyle w:val="Bibliography"/>
      </w:pPr>
      <w:r>
        <w:t xml:space="preserve">Lewis, Patrick, Ethan Perez, Aleksandra Piktus, Fabio Petroni, Vladimir Karpukhin, Naman Goyal, Heinrich Küttler, et al. 2020.</w:t>
      </w:r>
      <w:r>
        <w:t xml:space="preserve"> </w:t>
      </w:r>
      <w:r>
        <w:t xml:space="preserve">“Retrieval-Augmented Generation for Knowledge-Intensive</w:t>
      </w:r>
      <w:r>
        <w:t xml:space="preserve"> </w:t>
      </w:r>
      <w:r>
        <w:t xml:space="preserve">NLP</w:t>
      </w:r>
      <w:r>
        <w:t xml:space="preserve"> </w:t>
      </w:r>
      <w:r>
        <w:t xml:space="preserve">Tasks.”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33:9459–74.</w:t>
      </w:r>
    </w:p>
    <w:bookmarkEnd w:id="94"/>
    <w:bookmarkStart w:id="96" w:name="ref-liu2023matcha"/>
    <w:p>
      <w:pPr>
        <w:pStyle w:val="Bibliography"/>
      </w:pPr>
      <w:r>
        <w:t xml:space="preserve">Liu, Fangyu, Francesco Piccinno, Syrine Krichene, Chenxi Pang, Kenton Lee, Mandar Joshi, Yasemin Altun, Nigel Collier, and Julian Eisenschlos. 2023.</w:t>
      </w:r>
      <w:r>
        <w:t xml:space="preserve"> </w:t>
      </w:r>
      <w:r>
        <w:t xml:space="preserve">“</w:t>
      </w:r>
      <w:r>
        <w:t xml:space="preserve">MatCha</w:t>
      </w:r>
      <w:r>
        <w:t xml:space="preserve">: Enhancing Visual Language Pretraining with Math Reasoning and Chart Derendering.”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61st Annual Meeting of the Association for Computational Linguistics (Volume 1: Long Papers)</w:t>
      </w:r>
      <w:r>
        <w:t xml:space="preserve">, 12756–70.</w:t>
      </w:r>
      <w:r>
        <w:t xml:space="preserve"> </w:t>
      </w:r>
      <w:hyperlink r:id="rId95">
        <w:r>
          <w:rPr>
            <w:rStyle w:val="Hyperlink"/>
          </w:rPr>
          <w:t xml:space="preserve">https://doi.org/10.18653/v1/2023.acl-long.714</w:t>
        </w:r>
      </w:hyperlink>
      <w:r>
        <w:t xml:space="preserve">.</w:t>
      </w:r>
    </w:p>
    <w:bookmarkEnd w:id="96"/>
    <w:bookmarkStart w:id="98" w:name="ref-miller1956magical"/>
    <w:p>
      <w:pPr>
        <w:pStyle w:val="Bibliography"/>
      </w:pPr>
      <w:r>
        <w:t xml:space="preserve">Miller, George A. 1956.</w:t>
      </w:r>
      <w:r>
        <w:t xml:space="preserve"> </w:t>
      </w:r>
      <w:r>
        <w:t xml:space="preserve">“The Magical Number Seven, Plus or Minus Two: Some Limits on Our Capacity for Processing Information.”</w:t>
      </w:r>
      <w:r>
        <w:t xml:space="preserve"> </w:t>
      </w:r>
      <w:r>
        <w:rPr>
          <w:iCs/>
          <w:i/>
        </w:rPr>
        <w:t xml:space="preserve">Psychological Review</w:t>
      </w:r>
      <w:r>
        <w:t xml:space="preserve"> </w:t>
      </w:r>
      <w:r>
        <w:t xml:space="preserve">63 (2): 81–97.</w:t>
      </w:r>
      <w:r>
        <w:t xml:space="preserve"> </w:t>
      </w:r>
      <w:hyperlink r:id="rId97">
        <w:r>
          <w:rPr>
            <w:rStyle w:val="Hyperlink"/>
          </w:rPr>
          <w:t xml:space="preserve">https://doi.org/10.1037/h0043158</w:t>
        </w:r>
      </w:hyperlink>
      <w:r>
        <w:t xml:space="preserve">.</w:t>
      </w:r>
    </w:p>
    <w:bookmarkEnd w:id="98"/>
    <w:bookmarkStart w:id="100" w:name="ref-kap2026"/>
    <w:p>
      <w:pPr>
        <w:pStyle w:val="Bibliography"/>
      </w:pPr>
      <w:r>
        <w:t xml:space="preserve">Public Disclosure Platform (KAP). 2026.</w:t>
      </w:r>
      <w:r>
        <w:t xml:space="preserve"> </w:t>
      </w:r>
      <w:r>
        <w:t xml:space="preserve">“</w:t>
      </w:r>
      <w:r>
        <w:t xml:space="preserve">KAP</w:t>
      </w:r>
      <w:r>
        <w:t xml:space="preserve"> </w:t>
      </w:r>
      <w:r>
        <w:t xml:space="preserve">Public Disclosure Platform.”</w:t>
      </w:r>
      <w:r>
        <w:t xml:space="preserve"> </w:t>
      </w:r>
      <w:hyperlink r:id="rId99">
        <w:r>
          <w:rPr>
            <w:rStyle w:val="Hyperlink"/>
          </w:rPr>
          <w:t xml:space="preserve">https://www.kap.org.tr</w:t>
        </w:r>
      </w:hyperlink>
      <w:r>
        <w:t xml:space="preserve">.</w:t>
      </w:r>
    </w:p>
    <w:bookmarkEnd w:id="100"/>
    <w:bookmarkStart w:id="102" w:name="ref-reimers2019sentence"/>
    <w:p>
      <w:pPr>
        <w:pStyle w:val="Bibliography"/>
      </w:pPr>
      <w:r>
        <w:t xml:space="preserve">Reimers, Nils, and Iryna Gurevych. 2019.</w:t>
      </w:r>
      <w:r>
        <w:t xml:space="preserve"> </w:t>
      </w:r>
      <w:r>
        <w:t xml:space="preserve">“Sentence-</w:t>
      </w:r>
      <w:r>
        <w:t xml:space="preserve">BERT</w:t>
      </w:r>
      <w:r>
        <w:t xml:space="preserve">: Sentence Embeddings Using Siamese</w:t>
      </w:r>
      <w:r>
        <w:t xml:space="preserve"> </w:t>
      </w:r>
      <w:r>
        <w:t xml:space="preserve">BERT</w:t>
      </w:r>
      <w:r>
        <w:t xml:space="preserve">-Networks.”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2019 Conference on Empirical Methods in Natural Language Processing and the 9th International Joint Conference on Natural Language Processing (</w:t>
      </w:r>
      <w:r>
        <w:rPr>
          <w:iCs/>
          <w:i/>
        </w:rPr>
        <w:t xml:space="preserve">EMNLP-IJCNLP</w:t>
      </w:r>
      <w:r>
        <w:rPr>
          <w:iCs/>
          <w:i/>
        </w:rPr>
        <w:t xml:space="preserve">)</w:t>
      </w:r>
      <w:r>
        <w:t xml:space="preserve">, 3982–92.</w:t>
      </w:r>
      <w:r>
        <w:t xml:space="preserve"> </w:t>
      </w:r>
      <w:hyperlink r:id="rId101">
        <w:r>
          <w:rPr>
            <w:rStyle w:val="Hyperlink"/>
          </w:rPr>
          <w:t xml:space="preserve">https://doi.org/10.18653/v1/D19-1410</w:t>
        </w:r>
      </w:hyperlink>
      <w:r>
        <w:t xml:space="preserve">.</w:t>
      </w:r>
    </w:p>
    <w:bookmarkEnd w:id="102"/>
    <w:bookmarkStart w:id="104" w:name="ref-sohangir2018big"/>
    <w:p>
      <w:pPr>
        <w:pStyle w:val="Bibliography"/>
      </w:pPr>
      <w:r>
        <w:t xml:space="preserve">Sohangir, Sahar, Dingding Wang, Anna Pomeranets, and Taghi M. Khoshgoftaar. 2018.</w:t>
      </w:r>
      <w:r>
        <w:t xml:space="preserve"> </w:t>
      </w:r>
      <w:r>
        <w:t xml:space="preserve">“Big Data: Deep Learning for Financial Sentiment Analysis.”</w:t>
      </w:r>
      <w:r>
        <w:t xml:space="preserve"> </w:t>
      </w:r>
      <w:r>
        <w:rPr>
          <w:iCs/>
          <w:i/>
        </w:rPr>
        <w:t xml:space="preserve">Journal of Big Data</w:t>
      </w:r>
      <w:r>
        <w:t xml:space="preserve"> </w:t>
      </w:r>
      <w:r>
        <w:t xml:space="preserve">5 (1): 3.</w:t>
      </w:r>
      <w:r>
        <w:t xml:space="preserve"> </w:t>
      </w:r>
      <w:hyperlink r:id="rId103">
        <w:r>
          <w:rPr>
            <w:rStyle w:val="Hyperlink"/>
          </w:rPr>
          <w:t xml:space="preserve">https://doi.org/10.1186/s40537-017-0111-6</w:t>
        </w:r>
      </w:hyperlink>
      <w:r>
        <w:t xml:space="preserve">.</w:t>
      </w:r>
    </w:p>
    <w:bookmarkEnd w:id="104"/>
    <w:bookmarkStart w:id="106" w:name="ref-sun2019compare"/>
    <w:p>
      <w:pPr>
        <w:pStyle w:val="Bibliography"/>
      </w:pPr>
      <w:r>
        <w:t xml:space="preserve">Sun, Simeng, Ori Shapira, Ido Dagan, and Ani Nenkova. 2019.</w:t>
      </w:r>
      <w:r>
        <w:t xml:space="preserve"> </w:t>
      </w:r>
      <w:r>
        <w:t xml:space="preserve">“How to Compare Summarizers Without Target Length? Pitfalls, Solutions and Re-Examination of the Neural Summarization Literature.”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Methods for Optimizing and Evaluating Neural Language Generation</w:t>
      </w:r>
      <w:r>
        <w:t xml:space="preserve">, 21–29.</w:t>
      </w:r>
      <w:r>
        <w:t xml:space="preserve"> </w:t>
      </w:r>
      <w:hyperlink r:id="rId105">
        <w:r>
          <w:rPr>
            <w:rStyle w:val="Hyperlink"/>
          </w:rPr>
          <w:t xml:space="preserve">https://doi.org/10.18653/v1/W19-2303</w:t>
        </w:r>
      </w:hyperlink>
      <w:r>
        <w:t xml:space="preserve">.</w:t>
      </w:r>
    </w:p>
    <w:bookmarkEnd w:id="106"/>
    <w:bookmarkStart w:id="108" w:name="ref-sweller1988cognitive"/>
    <w:p>
      <w:pPr>
        <w:pStyle w:val="Bibliography"/>
      </w:pPr>
      <w:r>
        <w:t xml:space="preserve">Sweller, John. 1988.</w:t>
      </w:r>
      <w:r>
        <w:t xml:space="preserve"> </w:t>
      </w:r>
      <w:r>
        <w:t xml:space="preserve">“Cognitive Load During Problem Solving: Effects on Learning.”</w:t>
      </w:r>
      <w:r>
        <w:t xml:space="preserve"> </w:t>
      </w:r>
      <w:r>
        <w:rPr>
          <w:iCs/>
          <w:i/>
        </w:rPr>
        <w:t xml:space="preserve">Cognitive Science</w:t>
      </w:r>
      <w:r>
        <w:t xml:space="preserve"> </w:t>
      </w:r>
      <w:r>
        <w:t xml:space="preserve">12 (2): 257–85.</w:t>
      </w:r>
      <w:r>
        <w:t xml:space="preserve"> </w:t>
      </w:r>
      <w:hyperlink r:id="rId107">
        <w:r>
          <w:rPr>
            <w:rStyle w:val="Hyperlink"/>
          </w:rPr>
          <w:t xml:space="preserve">https://doi.org/10.1207/s15516709cog1202_4</w:t>
        </w:r>
      </w:hyperlink>
      <w:r>
        <w:t xml:space="preserve">.</w:t>
      </w:r>
    </w:p>
    <w:bookmarkEnd w:id="108"/>
    <w:bookmarkStart w:id="110" w:name="ref-sweller2023clt"/>
    <w:p>
      <w:pPr>
        <w:pStyle w:val="Bibliography"/>
      </w:pPr>
      <w:r>
        <w:t xml:space="preserve">———. 2023.</w:t>
      </w:r>
      <w:r>
        <w:t xml:space="preserve"> </w:t>
      </w:r>
      <w:r>
        <w:t xml:space="preserve">“The Development of Cognitive Load Theory: Replication Crises and Incorporation of Other Theories Can Lead to Theory Expansion.”</w:t>
      </w:r>
      <w:r>
        <w:t xml:space="preserve"> </w:t>
      </w:r>
      <w:r>
        <w:rPr>
          <w:iCs/>
          <w:i/>
        </w:rPr>
        <w:t xml:space="preserve">Educational Psychology Review</w:t>
      </w:r>
      <w:r>
        <w:t xml:space="preserve"> </w:t>
      </w:r>
      <w:r>
        <w:t xml:space="preserve">35 (4): 95.</w:t>
      </w:r>
      <w:r>
        <w:t xml:space="preserve"> </w:t>
      </w:r>
      <w:hyperlink r:id="rId109">
        <w:r>
          <w:rPr>
            <w:rStyle w:val="Hyperlink"/>
          </w:rPr>
          <w:t xml:space="preserve">https://doi.org/10.1007/s10648-023-09817-2</w:t>
        </w:r>
      </w:hyperlink>
      <w:r>
        <w:t xml:space="preserve">.</w:t>
      </w:r>
    </w:p>
    <w:bookmarkEnd w:id="110"/>
    <w:bookmarkStart w:id="112" w:name="ref-tsai2019mult"/>
    <w:p>
      <w:pPr>
        <w:pStyle w:val="Bibliography"/>
      </w:pPr>
      <w:r>
        <w:t xml:space="preserve">Tsai, Yao-Hung Hubert, Shaojie Bai, Paul Pu Liang, J. Zico Kolter, Louis-Philippe Morency, and Ruslan Salakhutdinov. 2019.</w:t>
      </w:r>
      <w:r>
        <w:t xml:space="preserve"> </w:t>
      </w:r>
      <w:r>
        <w:t xml:space="preserve">“Multimodal Transformer for Unaligned Multimodal Language Sequences.”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57th Annual Meeting of the Association for Computational Linguistics</w:t>
      </w:r>
      <w:r>
        <w:t xml:space="preserve">, 6558–69.</w:t>
      </w:r>
      <w:r>
        <w:t xml:space="preserve"> </w:t>
      </w:r>
      <w:hyperlink r:id="rId111">
        <w:r>
          <w:rPr>
            <w:rStyle w:val="Hyperlink"/>
          </w:rPr>
          <w:t xml:space="preserve">https://doi.org/10.18653/v1/P19-1656</w:t>
        </w:r>
      </w:hyperlink>
      <w:r>
        <w:t xml:space="preserve">.</w:t>
      </w:r>
    </w:p>
    <w:bookmarkEnd w:id="112"/>
    <w:bookmarkStart w:id="114" w:name="ref-yang2023fingpt"/>
    <w:p>
      <w:pPr>
        <w:pStyle w:val="Bibliography"/>
      </w:pPr>
      <w:r>
        <w:t xml:space="preserve">Yang, Hongyang, Xiao-Yang Liu, and Christina Dan Wang. 2023.</w:t>
      </w:r>
      <w:r>
        <w:t xml:space="preserve"> </w:t>
      </w:r>
      <w:r>
        <w:t xml:space="preserve">“</w:t>
      </w:r>
      <w:r>
        <w:t xml:space="preserve">FinGPT</w:t>
      </w:r>
      <w:r>
        <w:t xml:space="preserve">: Open-Source Financial Large Language Models.”</w:t>
      </w:r>
      <w:r>
        <w:t xml:space="preserve"> </w:t>
      </w:r>
      <w:r>
        <w:rPr>
          <w:iCs/>
          <w:i/>
        </w:rPr>
        <w:t xml:space="preserve">arXiv Preprint arXiv:2306.06031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https://doi.org/10.48550/arXiv.2306.06031</w:t>
        </w:r>
      </w:hyperlink>
      <w:r>
        <w:t xml:space="preserve">.</w:t>
      </w:r>
    </w:p>
    <w:bookmarkEnd w:id="114"/>
    <w:bookmarkStart w:id="115" w:name="ref-yao2023react"/>
    <w:p>
      <w:pPr>
        <w:pStyle w:val="Bibliography"/>
      </w:pPr>
      <w:r>
        <w:t xml:space="preserve">Yao, Shunyu, Jeffrey Zhao, Dian Yu, Nan Du, Izhak Shafran, Karthik Narasimhan, and Yuan Cao. 2023.</w:t>
      </w:r>
      <w:r>
        <w:t xml:space="preserve"> </w:t>
      </w:r>
      <w:r>
        <w:t xml:space="preserve">“</w:t>
      </w:r>
      <w:r>
        <w:t xml:space="preserve">ReAct</w:t>
      </w:r>
      <w:r>
        <w:t xml:space="preserve">: Synergizing Reasoning and Acting in Language Models.”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</w:t>
      </w:r>
    </w:p>
    <w:bookmarkEnd w:id="115"/>
    <w:bookmarkStart w:id="117" w:name="ref-yu2024finmem"/>
    <w:p>
      <w:pPr>
        <w:pStyle w:val="Bibliography"/>
      </w:pPr>
      <w:r>
        <w:t xml:space="preserve">Yu, Yangyang, Haohang Li, Zhi Chen, Yuechen Jiang, Yang Li, Denghui Zhang, Rong Liu, Jordan W. Suchow, and Khaldoun Khashanah. 2024.</w:t>
      </w:r>
      <w:r>
        <w:t xml:space="preserve"> </w:t>
      </w:r>
      <w:r>
        <w:t xml:space="preserve">“</w:t>
      </w:r>
      <w:r>
        <w:t xml:space="preserve">FinMem</w:t>
      </w:r>
      <w:r>
        <w:t xml:space="preserve">: A Performance-Enhanced</w:t>
      </w:r>
      <w:r>
        <w:t xml:space="preserve"> </w:t>
      </w:r>
      <w:r>
        <w:t xml:space="preserve">LLM</w:t>
      </w:r>
      <w:r>
        <w:t xml:space="preserve"> </w:t>
      </w:r>
      <w:r>
        <w:t xml:space="preserve">Trading Agent with Layered Memory and Character Design.”</w:t>
      </w:r>
      <w:r>
        <w:t xml:space="preserve"> </w:t>
      </w:r>
      <w:r>
        <w:rPr>
          <w:iCs/>
          <w:i/>
        </w:rPr>
        <w:t xml:space="preserve">Proceedings of the</w:t>
      </w:r>
      <w:r>
        <w:rPr>
          <w:iCs/>
          <w:i/>
        </w:rPr>
        <w:t xml:space="preserve"> </w:t>
      </w:r>
      <w:r>
        <w:rPr>
          <w:iCs/>
          <w:i/>
        </w:rPr>
        <w:t xml:space="preserve">AAAI</w:t>
      </w:r>
      <w:r>
        <w:rPr>
          <w:iCs/>
          <w:i/>
        </w:rPr>
        <w:t xml:space="preserve"> </w:t>
      </w:r>
      <w:r>
        <w:rPr>
          <w:iCs/>
          <w:i/>
        </w:rPr>
        <w:t xml:space="preserve">Symposium Series</w:t>
      </w:r>
      <w:r>
        <w:t xml:space="preserve"> </w:t>
      </w:r>
      <w:r>
        <w:t xml:space="preserve">3 (1): 595–97.</w:t>
      </w:r>
      <w:r>
        <w:t xml:space="preserve"> </w:t>
      </w:r>
      <w:hyperlink r:id="rId116">
        <w:r>
          <w:rPr>
            <w:rStyle w:val="Hyperlink"/>
          </w:rPr>
          <w:t xml:space="preserve">https://doi.org/10.1609/aaaiss.v3i1.31290</w:t>
        </w:r>
      </w:hyperlink>
      <w:r>
        <w:t xml:space="preserve">.</w:t>
      </w:r>
    </w:p>
    <w:bookmarkEnd w:id="117"/>
    <w:bookmarkStart w:id="119" w:name="ref-zadeh2017tfn"/>
    <w:p>
      <w:pPr>
        <w:pStyle w:val="Bibliography"/>
      </w:pPr>
      <w:r>
        <w:t xml:space="preserve">Zadeh, Amir, Minghai Chen, Soujanya Poria, Erik Cambria, and Louis-Philippe Morency. 2017.</w:t>
      </w:r>
      <w:r>
        <w:t xml:space="preserve"> </w:t>
      </w:r>
      <w:r>
        <w:t xml:space="preserve">“Tensor Fusion Network for Multimodal Sentiment Analysis.”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2017 Conference on Empirical Methods in Natural Language Processing</w:t>
      </w:r>
      <w:r>
        <w:t xml:space="preserve">, 1103–14.</w:t>
      </w:r>
      <w:r>
        <w:t xml:space="preserve"> </w:t>
      </w:r>
      <w:hyperlink r:id="rId118">
        <w:r>
          <w:rPr>
            <w:rStyle w:val="Hyperlink"/>
          </w:rPr>
          <w:t xml:space="preserve">https://doi.org/10.18653/v1/D17-1115</w:t>
        </w:r>
      </w:hyperlink>
      <w:r>
        <w:t xml:space="preserve">.</w:t>
      </w:r>
    </w:p>
    <w:bookmarkEnd w:id="119"/>
    <w:bookmarkEnd w:id="120"/>
    <w:bookmarkEnd w:id="121"/>
    <w:bookmarkEnd w:id="1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34" Target="media/rId34.png" /><Relationship Type="http://schemas.openxmlformats.org/officeDocument/2006/relationships/hyperlink" Id="rId69" Target="https://doi.org/10.1007/s10614-025-10986-1" TargetMode="External" /><Relationship Type="http://schemas.openxmlformats.org/officeDocument/2006/relationships/hyperlink" Id="rId109" Target="https://doi.org/10.1007/s10648-023-09817-2" TargetMode="External" /><Relationship Type="http://schemas.openxmlformats.org/officeDocument/2006/relationships/hyperlink" Id="rId97" Target="https://doi.org/10.1037/h0043158" TargetMode="External" /><Relationship Type="http://schemas.openxmlformats.org/officeDocument/2006/relationships/hyperlink" Id="rId80" Target="https://doi.org/10.1080/01972240490507974" TargetMode="External" /><Relationship Type="http://schemas.openxmlformats.org/officeDocument/2006/relationships/hyperlink" Id="rId86" Target="https://doi.org/10.1093/rfs/hhv059" TargetMode="External" /><Relationship Type="http://schemas.openxmlformats.org/officeDocument/2006/relationships/hyperlink" Id="rId88" Target="https://doi.org/10.1111/jofi.13268" TargetMode="External" /><Relationship Type="http://schemas.openxmlformats.org/officeDocument/2006/relationships/hyperlink" Id="rId84" Target="https://doi.org/10.1145/1133265.1133306" TargetMode="External" /><Relationship Type="http://schemas.openxmlformats.org/officeDocument/2006/relationships/hyperlink" Id="rId77" Target="https://doi.org/10.1162/089976698300017197" TargetMode="External" /><Relationship Type="http://schemas.openxmlformats.org/officeDocument/2006/relationships/hyperlink" Id="rId75" Target="https://doi.org/10.1177/001316446002000104" TargetMode="External" /><Relationship Type="http://schemas.openxmlformats.org/officeDocument/2006/relationships/hyperlink" Id="rId103" Target="https://doi.org/10.1186/s40537-017-0111-6" TargetMode="External" /><Relationship Type="http://schemas.openxmlformats.org/officeDocument/2006/relationships/hyperlink" Id="rId107" Target="https://doi.org/10.1207/s15516709cog1202_4" TargetMode="External" /><Relationship Type="http://schemas.openxmlformats.org/officeDocument/2006/relationships/hyperlink" Id="rId116" Target="https://doi.org/10.1609/aaaiss.v3i1.31290" TargetMode="External" /><Relationship Type="http://schemas.openxmlformats.org/officeDocument/2006/relationships/hyperlink" Id="rId82" Target="https://doi.org/10.1609/aimag.v30i4.2268" TargetMode="External" /><Relationship Type="http://schemas.openxmlformats.org/officeDocument/2006/relationships/hyperlink" Id="rId95" Target="https://doi.org/10.18653/v1/2023.acl-long.714" TargetMode="External" /><Relationship Type="http://schemas.openxmlformats.org/officeDocument/2006/relationships/hyperlink" Id="rId73" Target="https://doi.org/10.18653/v1/2024.findings-acl.137" TargetMode="External" /><Relationship Type="http://schemas.openxmlformats.org/officeDocument/2006/relationships/hyperlink" Id="rId118" Target="https://doi.org/10.18653/v1/D17-1115" TargetMode="External" /><Relationship Type="http://schemas.openxmlformats.org/officeDocument/2006/relationships/hyperlink" Id="rId101" Target="https://doi.org/10.18653/v1/D19-1410" TargetMode="External" /><Relationship Type="http://schemas.openxmlformats.org/officeDocument/2006/relationships/hyperlink" Id="rId111" Target="https://doi.org/10.18653/v1/P19-1656" TargetMode="External" /><Relationship Type="http://schemas.openxmlformats.org/officeDocument/2006/relationships/hyperlink" Id="rId105" Target="https://doi.org/10.18653/v1/W19-2303" TargetMode="External" /><Relationship Type="http://schemas.openxmlformats.org/officeDocument/2006/relationships/hyperlink" Id="rId71" Target="https://doi.org/10.48550/arXiv.1702.01992" TargetMode="External" /><Relationship Type="http://schemas.openxmlformats.org/officeDocument/2006/relationships/hyperlink" Id="rId90" Target="https://doi.org/10.48550/arXiv.2208.11893" TargetMode="External" /><Relationship Type="http://schemas.openxmlformats.org/officeDocument/2006/relationships/hyperlink" Id="rId113" Target="https://doi.org/10.48550/arXiv.2306.06031" TargetMode="External" /><Relationship Type="http://schemas.openxmlformats.org/officeDocument/2006/relationships/hyperlink" Id="rId20" Target="https://github.com/ozge-devops/congress" TargetMode="External" /><Relationship Type="http://schemas.openxmlformats.org/officeDocument/2006/relationships/hyperlink" Id="rId99" Target="https://www.kap.org.t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007/s10614-025-10986-1" TargetMode="External" /><Relationship Type="http://schemas.openxmlformats.org/officeDocument/2006/relationships/hyperlink" Id="rId109" Target="https://doi.org/10.1007/s10648-023-09817-2" TargetMode="External" /><Relationship Type="http://schemas.openxmlformats.org/officeDocument/2006/relationships/hyperlink" Id="rId97" Target="https://doi.org/10.1037/h0043158" TargetMode="External" /><Relationship Type="http://schemas.openxmlformats.org/officeDocument/2006/relationships/hyperlink" Id="rId80" Target="https://doi.org/10.1080/01972240490507974" TargetMode="External" /><Relationship Type="http://schemas.openxmlformats.org/officeDocument/2006/relationships/hyperlink" Id="rId86" Target="https://doi.org/10.1093/rfs/hhv059" TargetMode="External" /><Relationship Type="http://schemas.openxmlformats.org/officeDocument/2006/relationships/hyperlink" Id="rId88" Target="https://doi.org/10.1111/jofi.13268" TargetMode="External" /><Relationship Type="http://schemas.openxmlformats.org/officeDocument/2006/relationships/hyperlink" Id="rId84" Target="https://doi.org/10.1145/1133265.1133306" TargetMode="External" /><Relationship Type="http://schemas.openxmlformats.org/officeDocument/2006/relationships/hyperlink" Id="rId77" Target="https://doi.org/10.1162/089976698300017197" TargetMode="External" /><Relationship Type="http://schemas.openxmlformats.org/officeDocument/2006/relationships/hyperlink" Id="rId75" Target="https://doi.org/10.1177/001316446002000104" TargetMode="External" /><Relationship Type="http://schemas.openxmlformats.org/officeDocument/2006/relationships/hyperlink" Id="rId103" Target="https://doi.org/10.1186/s40537-017-0111-6" TargetMode="External" /><Relationship Type="http://schemas.openxmlformats.org/officeDocument/2006/relationships/hyperlink" Id="rId107" Target="https://doi.org/10.1207/s15516709cog1202_4" TargetMode="External" /><Relationship Type="http://schemas.openxmlformats.org/officeDocument/2006/relationships/hyperlink" Id="rId116" Target="https://doi.org/10.1609/aaaiss.v3i1.31290" TargetMode="External" /><Relationship Type="http://schemas.openxmlformats.org/officeDocument/2006/relationships/hyperlink" Id="rId82" Target="https://doi.org/10.1609/aimag.v30i4.2268" TargetMode="External" /><Relationship Type="http://schemas.openxmlformats.org/officeDocument/2006/relationships/hyperlink" Id="rId95" Target="https://doi.org/10.18653/v1/2023.acl-long.714" TargetMode="External" /><Relationship Type="http://schemas.openxmlformats.org/officeDocument/2006/relationships/hyperlink" Id="rId73" Target="https://doi.org/10.18653/v1/2024.findings-acl.137" TargetMode="External" /><Relationship Type="http://schemas.openxmlformats.org/officeDocument/2006/relationships/hyperlink" Id="rId118" Target="https://doi.org/10.18653/v1/D17-1115" TargetMode="External" /><Relationship Type="http://schemas.openxmlformats.org/officeDocument/2006/relationships/hyperlink" Id="rId101" Target="https://doi.org/10.18653/v1/D19-1410" TargetMode="External" /><Relationship Type="http://schemas.openxmlformats.org/officeDocument/2006/relationships/hyperlink" Id="rId111" Target="https://doi.org/10.18653/v1/P19-1656" TargetMode="External" /><Relationship Type="http://schemas.openxmlformats.org/officeDocument/2006/relationships/hyperlink" Id="rId105" Target="https://doi.org/10.18653/v1/W19-2303" TargetMode="External" /><Relationship Type="http://schemas.openxmlformats.org/officeDocument/2006/relationships/hyperlink" Id="rId71" Target="https://doi.org/10.48550/arXiv.1702.01992" TargetMode="External" /><Relationship Type="http://schemas.openxmlformats.org/officeDocument/2006/relationships/hyperlink" Id="rId90" Target="https://doi.org/10.48550/arXiv.2208.11893" TargetMode="External" /><Relationship Type="http://schemas.openxmlformats.org/officeDocument/2006/relationships/hyperlink" Id="rId113" Target="https://doi.org/10.48550/arXiv.2306.06031" TargetMode="External" /><Relationship Type="http://schemas.openxmlformats.org/officeDocument/2006/relationships/hyperlink" Id="rId20" Target="https://github.com/ozge-devops/congress" TargetMode="External" /><Relationship Type="http://schemas.openxmlformats.org/officeDocument/2006/relationships/hyperlink" Id="rId99" Target="https://www.kap.org.t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VESTA: Time-Budgeted Multimodal Agents for Retail Financial Decision Support</dc:title>
  <dc:creator>Peri Gunes; Ozge Zelal Kucuk; Harun Benli</dc:creator>
  <cp:keywords/>
  <dcterms:created xsi:type="dcterms:W3CDTF">2026-09-03T06:04:12Z</dcterms:created>
  <dcterms:modified xsi:type="dcterms:W3CDTF">2026-09-03T06:04:12Z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high-volatility emerging markets such as Borsa Istanbul (BIST), retail investors face a low signal-to-noise ratio created by the divergence between unstructured disclosures and rapidly changing charts. Existing decision-support systems process news and technical pictures independently, and they ignore the investor’s temporal bandwidth: the same briefing is delivered whether the user has one minute or ten. This paper presents VESTA, a three-layer agentic system that (i) retrieves portfolio-conditioned textual evidence, (ii) reads candlestick images and the underlying OHLCV numbers, and (iii) spends a declared 1-, 3-, or 10-minute budget by changing the depth of the agentic chain. The contribution is this briefing stack plus an evaluation that treats the user’s minutes as a compute budget and measures leakage, per-tier delivery, and action against buy-and-hold. Text and vision class scores are mixed with GMU, tensor fusion, a scalar gate, mean and concat. A realized-volatility flag on the same day’s OHLCV is recovered at 100% F1 by a closed-form rule, so the headline task is next-day BIST100 direction. On public BIST100 data (2018-2026), no fusion method significantly outperforms GMU (McNemar p&gt;0.46 on seed 0). Coverage, declared latency, and length-normalized information noise vary across the three time tiers. A paper-trading overlay on seed-0 calls does not beat buy-and-hold in the 2025-2026 test window. Source: https://github.com/ozge-devops/congress.</vt:lpwstr>
  </property>
  <property fmtid="{D5CDD505-2E9C-101B-9397-08002B2CF9AE}" pid="3" name="bibliography">
    <vt:lpwstr>/workspace/paper/vesta.bib</vt:lpwstr>
  </property>
</Properties>
</file>