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42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VESTA:</w:t>
      </w:r>
      <w:r>
        <w:t xml:space="preserve"> </w:t>
      </w:r>
      <w:r>
        <w:t xml:space="preserve">Time-Budgeted</w:t>
      </w:r>
      <w:r>
        <w:t xml:space="preserve"> </w:t>
      </w:r>
      <w:r>
        <w:t xml:space="preserve">Multimodal</w:t>
      </w:r>
      <w:r>
        <w:t xml:space="preserve"> </w:t>
      </w:r>
      <w:r>
        <w:t xml:space="preserve">Agents</w:t>
      </w:r>
      <w:r>
        <w:t xml:space="preserve"> </w:t>
      </w:r>
      <w:r>
        <w:t xml:space="preserve">for</w:t>
      </w:r>
      <w:r>
        <w:t xml:space="preserve"> </w:t>
      </w:r>
      <w:r>
        <w:t xml:space="preserve">Retail</w:t>
      </w:r>
      <w:r>
        <w:t xml:space="preserve"> </w:t>
      </w:r>
      <w:r>
        <w:t xml:space="preserve">Financial</w:t>
      </w:r>
      <w:r>
        <w:t xml:space="preserve"> </w:t>
      </w:r>
      <w:r>
        <w:t xml:space="preserve">Decision</w:t>
      </w:r>
      <w:r>
        <w:t xml:space="preserve"> </w:t>
      </w:r>
      <w:r>
        <w:t xml:space="preserve">Support</w:t>
      </w:r>
    </w:p>
    <w:p>
      <w:pPr>
        <w:pStyle w:val="Author"/>
      </w:pPr>
      <w:r>
        <w:t xml:space="preserve">Peri</w:t>
      </w:r>
      <w:r>
        <w:t xml:space="preserve"> </w:t>
      </w:r>
      <w:r>
        <w:t xml:space="preserve">Gunes</w:t>
      </w:r>
    </w:p>
    <w:p>
      <w:pPr>
        <w:pStyle w:val="Author"/>
      </w:pPr>
      <w:r>
        <w:t xml:space="preserve">Ozge</w:t>
      </w:r>
      <w:r>
        <w:t xml:space="preserve"> </w:t>
      </w:r>
      <w:r>
        <w:t xml:space="preserve">Zelal</w:t>
      </w:r>
      <w:r>
        <w:t xml:space="preserve"> </w:t>
      </w:r>
      <w:r>
        <w:t xml:space="preserve">Kucuk</w:t>
      </w:r>
    </w:p>
    <w:p>
      <w:pPr>
        <w:pStyle w:val="Author"/>
      </w:pPr>
      <w:r>
        <w:t xml:space="preserve">Harun</w:t>
      </w:r>
      <w:r>
        <w:t xml:space="preserve"> </w:t>
      </w:r>
      <w:r>
        <w:t xml:space="preserve">Benli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</w:t>
      </w:r>
      <w:r>
        <w:t xml:space="preserve"> </w:t>
      </w:r>
      <w:r>
        <w:t xml:space="preserve">high-volatility</w:t>
      </w:r>
      <w:r>
        <w:t xml:space="preserve"> </w:t>
      </w:r>
      <w:r>
        <w:t xml:space="preserve">emerging</w:t>
      </w:r>
      <w:r>
        <w:t xml:space="preserve"> </w:t>
      </w:r>
      <w:r>
        <w:t xml:space="preserve">markets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Borsa</w:t>
      </w:r>
      <w:r>
        <w:t xml:space="preserve"> </w:t>
      </w:r>
      <w:r>
        <w:t xml:space="preserve">Istanbul</w:t>
      </w:r>
      <w:r>
        <w:t xml:space="preserve"> </w:t>
      </w:r>
      <w:r>
        <w:t xml:space="preserve">(BIST),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</w:t>
      </w:r>
      <w:r>
        <w:t xml:space="preserve"> </w:t>
      </w:r>
      <w:r>
        <w:t xml:space="preserve">face</w:t>
      </w:r>
      <w:r>
        <w:t xml:space="preserve"> </w:t>
      </w:r>
      <w:r>
        <w:t xml:space="preserve">a</w:t>
      </w:r>
      <w:r>
        <w:t xml:space="preserve"> </w:t>
      </w:r>
      <w:r>
        <w:t xml:space="preserve">low</w:t>
      </w:r>
      <w:r>
        <w:t xml:space="preserve"> </w:t>
      </w:r>
      <w:r>
        <w:t xml:space="preserve">signal-to-noise</w:t>
      </w:r>
      <w:r>
        <w:t xml:space="preserve"> </w:t>
      </w:r>
      <w:r>
        <w:t xml:space="preserve">ratio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divergence</w:t>
      </w:r>
      <w:r>
        <w:t xml:space="preserve"> </w:t>
      </w:r>
      <w:r>
        <w:t xml:space="preserve">between</w:t>
      </w:r>
      <w:r>
        <w:t xml:space="preserve"> </w:t>
      </w:r>
      <w:r>
        <w:t xml:space="preserve">unstructured</w:t>
      </w:r>
      <w:r>
        <w:t xml:space="preserve"> </w:t>
      </w:r>
      <w:r>
        <w:t xml:space="preserve">disclosures</w:t>
      </w:r>
      <w:r>
        <w:t xml:space="preserve"> </w:t>
      </w:r>
      <w:r>
        <w:t xml:space="preserve">and</w:t>
      </w:r>
      <w:r>
        <w:t xml:space="preserve"> </w:t>
      </w:r>
      <w:r>
        <w:t xml:space="preserve">rapidly</w:t>
      </w:r>
      <w:r>
        <w:t xml:space="preserve"> </w:t>
      </w:r>
      <w:r>
        <w:t xml:space="preserve">changing</w:t>
      </w:r>
      <w:r>
        <w:t xml:space="preserve"> </w:t>
      </w:r>
      <w:r>
        <w:t xml:space="preserve">charts.</w:t>
      </w:r>
      <w:r>
        <w:t xml:space="preserve"> </w:t>
      </w:r>
      <w:r>
        <w:t xml:space="preserve">Existing</w:t>
      </w:r>
      <w:r>
        <w:t xml:space="preserve"> </w:t>
      </w:r>
      <w:r>
        <w:t xml:space="preserve">decision-support</w:t>
      </w:r>
      <w:r>
        <w:t xml:space="preserve"> </w:t>
      </w:r>
      <w:r>
        <w:t xml:space="preserve">systems</w:t>
      </w:r>
      <w:r>
        <w:t xml:space="preserve"> </w:t>
      </w:r>
      <w:r>
        <w:t xml:space="preserve">process</w:t>
      </w:r>
      <w:r>
        <w:t xml:space="preserve"> </w:t>
      </w:r>
      <w:r>
        <w:t xml:space="preserve">news</w:t>
      </w:r>
      <w:r>
        <w:t xml:space="preserve"> </w:t>
      </w:r>
      <w:r>
        <w:t xml:space="preserve">and</w:t>
      </w:r>
      <w:r>
        <w:t xml:space="preserve"> </w:t>
      </w:r>
      <w:r>
        <w:t xml:space="preserve">technical</w:t>
      </w:r>
      <w:r>
        <w:t xml:space="preserve"> </w:t>
      </w:r>
      <w:r>
        <w:t xml:space="preserve">pictures</w:t>
      </w:r>
      <w:r>
        <w:t xml:space="preserve"> </w:t>
      </w:r>
      <w:r>
        <w:t xml:space="preserve">independently,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ignore</w:t>
      </w:r>
      <w:r>
        <w:t xml:space="preserve"> </w:t>
      </w:r>
      <w:r>
        <w:t xml:space="preserve">the</w:t>
      </w:r>
      <w:r>
        <w:t xml:space="preserve"> </w:t>
      </w:r>
      <w:r>
        <w:t xml:space="preserve">investor’s</w:t>
      </w:r>
      <w:r>
        <w:t xml:space="preserve"> </w:t>
      </w:r>
      <w:r>
        <w:rPr>
          <w:iCs/>
          <w:i/>
        </w:rPr>
        <w:t xml:space="preserve">temporal</w:t>
      </w:r>
      <w:r>
        <w:rPr>
          <w:iCs/>
          <w:i/>
        </w:rPr>
        <w:t xml:space="preserve"> </w:t>
      </w:r>
      <w:r>
        <w:rPr>
          <w:iCs/>
          <w:i/>
        </w:rPr>
        <w:t xml:space="preserve">bandwidth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briefing</w:t>
      </w:r>
      <w:r>
        <w:t xml:space="preserve"> </w:t>
      </w:r>
      <w:r>
        <w:t xml:space="preserve">is</w:t>
      </w:r>
      <w:r>
        <w:t xml:space="preserve"> </w:t>
      </w:r>
      <w:r>
        <w:t xml:space="preserve">delivered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user</w:t>
      </w:r>
      <w:r>
        <w:t xml:space="preserve"> </w:t>
      </w:r>
      <w:r>
        <w:t xml:space="preserve">has</w:t>
      </w:r>
      <w:r>
        <w:t xml:space="preserve"> </w:t>
      </w:r>
      <w:r>
        <w:t xml:space="preserve">one</w:t>
      </w:r>
      <w:r>
        <w:t xml:space="preserve"> </w:t>
      </w:r>
      <w:r>
        <w:t xml:space="preserve">minute</w:t>
      </w:r>
      <w:r>
        <w:t xml:space="preserve"> </w:t>
      </w:r>
      <w:r>
        <w:t xml:space="preserve">or</w:t>
      </w:r>
      <w:r>
        <w:t xml:space="preserve"> </w:t>
      </w:r>
      <w:r>
        <w:t xml:space="preserve">ten.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VESTA,</w:t>
      </w:r>
      <w:r>
        <w:t xml:space="preserve"> </w:t>
      </w:r>
      <w:r>
        <w:t xml:space="preserve">a</w:t>
      </w:r>
      <w:r>
        <w:t xml:space="preserve"> </w:t>
      </w:r>
      <w:r>
        <w:t xml:space="preserve">three-layer</w:t>
      </w:r>
      <w:r>
        <w:t xml:space="preserve"> </w:t>
      </w:r>
      <w:r>
        <w:t xml:space="preserve">agentic</w:t>
      </w:r>
      <w:r>
        <w:t xml:space="preserve"> </w:t>
      </w:r>
      <w:r>
        <w:t xml:space="preserve">system</w:t>
      </w:r>
      <w:r>
        <w:t xml:space="preserve"> </w:t>
      </w:r>
      <w:r>
        <w:t xml:space="preserve">that</w:t>
      </w:r>
      <w:r>
        <w:t xml:space="preserve"> </w:t>
      </w:r>
      <w:r>
        <w:t xml:space="preserve">(i) retrieves</w:t>
      </w:r>
      <w:r>
        <w:t xml:space="preserve"> </w:t>
      </w:r>
      <w:r>
        <w:t xml:space="preserve">portfolio-conditioned</w:t>
      </w:r>
      <w:r>
        <w:t xml:space="preserve"> </w:t>
      </w:r>
      <w:r>
        <w:t xml:space="preserve">textual</w:t>
      </w:r>
      <w:r>
        <w:t xml:space="preserve"> </w:t>
      </w:r>
      <w:r>
        <w:t xml:space="preserve">evidence,</w:t>
      </w:r>
      <w:r>
        <w:t xml:space="preserve"> </w:t>
      </w:r>
      <w:r>
        <w:t xml:space="preserve">(ii) reads</w:t>
      </w:r>
      <w:r>
        <w:t xml:space="preserve"> </w:t>
      </w:r>
      <w:r>
        <w:t xml:space="preserve">candlestick</w:t>
      </w:r>
      <w:r>
        <w:t xml:space="preserve"> </w:t>
      </w:r>
      <w:r>
        <w:t xml:space="preserve">images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OHLCV</w:t>
      </w:r>
      <w:r>
        <w:t xml:space="preserve"> </w:t>
      </w:r>
      <w:r>
        <w:t xml:space="preserve">numbers,</w:t>
      </w:r>
      <w:r>
        <w:t xml:space="preserve"> </w:t>
      </w:r>
      <w:r>
        <w:t xml:space="preserve">and</w:t>
      </w:r>
      <w:r>
        <w:t xml:space="preserve"> </w:t>
      </w:r>
      <w:r>
        <w:t xml:space="preserve">(iii) spends</w:t>
      </w:r>
      <w:r>
        <w:t xml:space="preserve"> </w:t>
      </w:r>
      <w:r>
        <w:t xml:space="preserve">a</w:t>
      </w:r>
      <w:r>
        <w:t xml:space="preserve"> </w:t>
      </w:r>
      <w:r>
        <w:t xml:space="preserve">declared</w:t>
      </w:r>
      <w:r>
        <w:t xml:space="preserve"> </w:t>
      </w:r>
      <w:r>
        <w:t xml:space="preserve">1-,</w:t>
      </w:r>
      <w:r>
        <w:t xml:space="preserve"> </w:t>
      </w:r>
      <w:r>
        <w:t xml:space="preserve">3-,</w:t>
      </w:r>
      <w:r>
        <w:t xml:space="preserve"> </w:t>
      </w:r>
      <w:r>
        <w:t xml:space="preserve">or</w:t>
      </w:r>
      <w:r>
        <w:t xml:space="preserve"> </w:t>
      </w:r>
      <w:r>
        <w:t xml:space="preserve">10-minute</w:t>
      </w:r>
      <w:r>
        <w:t xml:space="preserve"> </w:t>
      </w:r>
      <w:r>
        <w:t xml:space="preserve">budget</w:t>
      </w:r>
      <w:r>
        <w:t xml:space="preserve"> </w:t>
      </w:r>
      <w:r>
        <w:t xml:space="preserve">by</w:t>
      </w:r>
      <w:r>
        <w:t xml:space="preserve"> </w:t>
      </w:r>
      <w:r>
        <w:t xml:space="preserve">changing</w:t>
      </w:r>
      <w:r>
        <w:t xml:space="preserve"> </w:t>
      </w:r>
      <w:r>
        <w:t xml:space="preserve">the</w:t>
      </w:r>
      <w:r>
        <w:t xml:space="preserve"> </w:t>
      </w:r>
      <w:r>
        <w:t xml:space="preserve">depth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agentic</w:t>
      </w:r>
      <w:r>
        <w:t xml:space="preserve"> </w:t>
      </w:r>
      <w:r>
        <w:t xml:space="preserve">chain.</w:t>
      </w:r>
      <w:r>
        <w:t xml:space="preserve"> </w:t>
      </w:r>
      <w:r>
        <w:t xml:space="preserve">We</w:t>
      </w:r>
      <w:r>
        <w:t xml:space="preserve"> </w:t>
      </w:r>
      <w:r>
        <w:t xml:space="preserve">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treat</w:t>
      </w:r>
      <w:r>
        <w:t xml:space="preserve"> </w:t>
      </w:r>
      <w:r>
        <w:t xml:space="preserve">the</w:t>
      </w:r>
      <w:r>
        <w:t xml:space="preserve"> </w:t>
      </w:r>
      <w:r>
        <w:t xml:space="preserve">scalar</w:t>
      </w:r>
      <w:r>
        <w:t xml:space="preserve"> </w:t>
      </w:r>
      <w:r>
        <w:t xml:space="preserve">cross-modal</w:t>
      </w:r>
      <w:r>
        <w:t xml:space="preserve"> </w:t>
      </w:r>
      <w:r>
        <w:t xml:space="preserve">gate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contribution;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standard</w:t>
      </w:r>
      <w:r>
        <w:t xml:space="preserve"> </w:t>
      </w:r>
      <w:r>
        <w:t xml:space="preserve">sigmoid</w:t>
      </w:r>
      <w:r>
        <w:t xml:space="preserve"> </w:t>
      </w:r>
      <w:r>
        <w:t xml:space="preserve">mixer,</w:t>
      </w:r>
      <w:r>
        <w:t xml:space="preserve"> </w:t>
      </w:r>
      <w:r>
        <w:t xml:space="preserve">compared</w:t>
      </w:r>
      <w:r>
        <w:t xml:space="preserve"> </w:t>
      </w:r>
      <w:r>
        <w:t xml:space="preserve">against</w:t>
      </w:r>
      <w:r>
        <w:t xml:space="preserve"> </w:t>
      </w:r>
      <w:r>
        <w:t xml:space="preserve">GMU</w:t>
      </w:r>
      <w:r>
        <w:t xml:space="preserve"> </w:t>
      </w:r>
      <w:r>
        <w:t xml:space="preserve">and</w:t>
      </w:r>
      <w:r>
        <w:t xml:space="preserve"> </w:t>
      </w:r>
      <w:r>
        <w:t xml:space="preserve">tensor</w:t>
      </w:r>
      <w:r>
        <w:t xml:space="preserve"> </w:t>
      </w:r>
      <w:r>
        <w:t xml:space="preserve">fusion.</w:t>
      </w:r>
      <w:r>
        <w:t xml:space="preserve"> </w:t>
      </w:r>
      <w:r>
        <w:t xml:space="preserve">A</w:t>
      </w:r>
      <w:r>
        <w:t xml:space="preserve"> </w:t>
      </w:r>
      <w:r>
        <w:t xml:space="preserve">previous</w:t>
      </w:r>
      <w:r>
        <w:t xml:space="preserve"> </w:t>
      </w:r>
      <w:r>
        <w:t xml:space="preserve">evaluation</w:t>
      </w:r>
      <w:r>
        <w:t xml:space="preserve"> </w:t>
      </w:r>
      <w:r>
        <w:t xml:space="preserve">protocol</w:t>
      </w:r>
      <w:r>
        <w:t xml:space="preserve"> </w:t>
      </w:r>
      <w:r>
        <w:t xml:space="preserve">that</w:t>
      </w:r>
      <w:r>
        <w:t xml:space="preserve"> </w:t>
      </w:r>
      <w:r>
        <w:t xml:space="preserve">labelled</w:t>
      </w:r>
      <w:r>
        <w:t xml:space="preserve"> </w:t>
      </w:r>
      <w:r>
        <w:t xml:space="preserve">“</w:t>
      </w:r>
      <w:r>
        <w:t xml:space="preserve">anomalies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realized</w:t>
      </w:r>
      <w:r>
        <w:t xml:space="preserve"> </w:t>
      </w:r>
      <w:r>
        <w:t xml:space="preserve">volatility</w:t>
      </w:r>
      <w:r>
        <w:t xml:space="preserve"> </w:t>
      </w:r>
      <w:r>
        <w:t xml:space="preserve">is</w:t>
      </w:r>
      <w:r>
        <w:t xml:space="preserve"> </w:t>
      </w:r>
      <w:r>
        <w:t xml:space="preserve">shown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invalid:</w:t>
      </w:r>
      <w:r>
        <w:t xml:space="preserve"> </w:t>
      </w:r>
      <w:r>
        <w:t xml:space="preserve">a</w:t>
      </w:r>
      <w:r>
        <w:t xml:space="preserve"> </w:t>
      </w:r>
      <w:r>
        <w:t xml:space="preserve">closed-form</w:t>
      </w:r>
      <w:r>
        <w:t xml:space="preserve"> </w:t>
      </w:r>
      <w:r>
        <w:t xml:space="preserve">rule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tabular</w:t>
      </w:r>
      <w:r>
        <w:t xml:space="preserve"> </w:t>
      </w:r>
      <w:r>
        <w:t xml:space="preserve">OHLCV</w:t>
      </w:r>
      <w:r>
        <w:t xml:space="preserve"> </w:t>
      </w:r>
      <w:r>
        <w:t xml:space="preserve">vector</w:t>
      </w:r>
      <w:r>
        <w:t xml:space="preserve"> </w:t>
      </w:r>
      <w:r>
        <w:t xml:space="preserve">scores</w:t>
      </w:r>
      <w:r>
        <w:t xml:space="preserve"> </w:t>
      </w:r>
      <w:r>
        <w:t xml:space="preserve">100%.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leakage-free</w:t>
      </w:r>
      <w:r>
        <w:t xml:space="preserve"> </w:t>
      </w:r>
      <w:r>
        <w:t xml:space="preserve">next-day</w:t>
      </w:r>
      <w:r>
        <w:t xml:space="preserve"> </w:t>
      </w:r>
      <w:r>
        <w:t xml:space="preserve">direction</w:t>
      </w:r>
      <w:r>
        <w:t xml:space="preserve"> </w:t>
      </w:r>
      <w:r>
        <w:t xml:space="preserve">task</w:t>
      </w:r>
      <w:r>
        <w:t xml:space="preserve"> </w:t>
      </w:r>
      <w:r>
        <w:t xml:space="preserve">over</w:t>
      </w:r>
      <w:r>
        <w:t xml:space="preserve"> </w:t>
      </w:r>
      <w:r>
        <w:t xml:space="preserve">public</w:t>
      </w:r>
      <w:r>
        <w:t xml:space="preserve"> </w:t>
      </w:r>
      <w:r>
        <w:t xml:space="preserve">BIST100</w:t>
      </w:r>
      <w:r>
        <w:t xml:space="preserve"> </w:t>
      </w:r>
      <w:r>
        <w:t xml:space="preserve">data</w:t>
      </w:r>
      <w:r>
        <w:t xml:space="preserve"> </w:t>
      </w:r>
      <w:r>
        <w:t xml:space="preserve">(2018–2026),</w:t>
      </w:r>
      <w:r>
        <w:t xml:space="preserve"> </w:t>
      </w:r>
      <w:r>
        <w:t xml:space="preserve">no</w:t>
      </w:r>
      <w:r>
        <w:t xml:space="preserve"> </w:t>
      </w:r>
      <w:r>
        <w:t xml:space="preserve">fusion</w:t>
      </w:r>
      <w:r>
        <w:t xml:space="preserve"> </w:t>
      </w:r>
      <w:r>
        <w:t xml:space="preserve">method</w:t>
      </w:r>
      <w:r>
        <w:t xml:space="preserve"> </w:t>
      </w:r>
      <w:r>
        <w:t xml:space="preserve">significantly</w:t>
      </w:r>
      <w:r>
        <w:t xml:space="preserve"> </w:t>
      </w:r>
      <w:r>
        <w:t xml:space="preserve">outperforms</w:t>
      </w:r>
      <w:r>
        <w:t xml:space="preserve"> </w:t>
      </w:r>
      <w:r>
        <w:t xml:space="preserve">GMU</w:t>
      </w:r>
      <w:r>
        <w:t xml:space="preserve"> </w:t>
      </w:r>
      <w:r>
        <w:t xml:space="preserve">(McNemar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0.46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seed</w:t>
      </w:r>
      <w:r>
        <w:t xml:space="preserve"> </w:t>
      </w:r>
      <w:r>
        <w:t xml:space="preserve">0).</w:t>
      </w:r>
      <w:r>
        <w:t xml:space="preserve"> </w:t>
      </w:r>
      <w:r>
        <w:t xml:space="preserve">What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vary</w:t>
      </w:r>
      <w:r>
        <w:t xml:space="preserve"> </w:t>
      </w:r>
      <w:r>
        <w:t xml:space="preserve">across</w:t>
      </w:r>
      <w:r>
        <w:t xml:space="preserve"> </w:t>
      </w:r>
      <w:r>
        <w:t xml:space="preserve">tiers</w:t>
      </w:r>
      <w:r>
        <w:t xml:space="preserve"> </w:t>
      </w:r>
      <w:r>
        <w:t xml:space="preserve">is</w:t>
      </w:r>
      <w:r>
        <w:t xml:space="preserve"> </w:t>
      </w:r>
      <w:r>
        <w:t xml:space="preserve">coverage,</w:t>
      </w:r>
      <w:r>
        <w:t xml:space="preserve"> </w:t>
      </w:r>
      <w:r>
        <w:t xml:space="preserve">declared</w:t>
      </w:r>
      <w:r>
        <w:t xml:space="preserve"> </w:t>
      </w:r>
      <w:r>
        <w:t xml:space="preserve">latency,</w:t>
      </w:r>
      <w:r>
        <w:t xml:space="preserve"> </w:t>
      </w:r>
      <w:r>
        <w:t xml:space="preserve">and</w:t>
      </w:r>
      <w:r>
        <w:t xml:space="preserve"> </w:t>
      </w:r>
      <w:r>
        <w:t xml:space="preserve">length-normalized</w:t>
      </w:r>
      <w:r>
        <w:t xml:space="preserve"> </w:t>
      </w:r>
      <w:r>
        <w:t xml:space="preserve">information</w:t>
      </w:r>
      <w:r>
        <w:t xml:space="preserve"> </w:t>
      </w:r>
      <w:r>
        <w:t xml:space="preserve">noise.</w:t>
      </w:r>
      <w:r>
        <w:t xml:space="preserve"> </w:t>
      </w:r>
      <w:r>
        <w:t xml:space="preserve">A</w:t>
      </w:r>
      <w:r>
        <w:t xml:space="preserve"> </w:t>
      </w:r>
      <w:r>
        <w:t xml:space="preserve">paper-trading</w:t>
      </w:r>
      <w:r>
        <w:t xml:space="preserve"> </w:t>
      </w:r>
      <w:r>
        <w:t xml:space="preserve">overlay</w:t>
      </w:r>
      <w:r>
        <w:t xml:space="preserve"> </w:t>
      </w:r>
      <w:r>
        <w:t xml:space="preserve">on</w:t>
      </w:r>
      <w:r>
        <w:t xml:space="preserve"> </w:t>
      </w:r>
      <w:r>
        <w:t xml:space="preserve">seed-0</w:t>
      </w:r>
      <w:r>
        <w:t xml:space="preserve"> </w:t>
      </w:r>
      <w:r>
        <w:t xml:space="preserve">calls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beat</w:t>
      </w:r>
      <w:r>
        <w:t xml:space="preserve"> </w:t>
      </w:r>
      <w:r>
        <w:t xml:space="preserve">buy-and-hold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2025–2026</w:t>
      </w:r>
      <w:r>
        <w:t xml:space="preserve"> </w:t>
      </w:r>
      <w:r>
        <w:t xml:space="preserve">test</w:t>
      </w:r>
      <w:r>
        <w:t xml:space="preserve"> </w:t>
      </w:r>
      <w:r>
        <w:t xml:space="preserve">window.</w:t>
      </w:r>
      <w:r>
        <w:t xml:space="preserve"> </w:t>
      </w: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https://github.com/ozge-devops/congress</w:t>
        </w:r>
      </w:hyperlink>
      <w:r>
        <w:t xml:space="preserve">.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financial information landscape is high-entropy. Retail investors sit between the textual density of the Public Disclosure Platform (KAP) </w:t>
      </w:r>
      <w:r>
        <w:t xml:space="preserve">(Public Disclosure Platform (KAP) 2026)</w:t>
      </w:r>
      <w:r>
        <w:t xml:space="preserve"> </w:t>
      </w:r>
      <w:r>
        <w:t xml:space="preserve">and the visual flux of technical charts. The difficulty is not only volume but</w:t>
      </w:r>
      <w:r>
        <w:t xml:space="preserve"> </w:t>
      </w:r>
      <w:r>
        <w:rPr>
          <w:iCs/>
          <w:i/>
        </w:rPr>
        <w:t xml:space="preserve">modality mismatch</w:t>
      </w:r>
      <w:r>
        <w:t xml:space="preserve">: a constructive disclosure can coincide with a failed breakout, and the two streams must be reconciled before a decision. Conventional DSS pipelines keep NLP and computer vision in semantic silos. A second, less discussed failure mode is temporal: systems emit the same information density whether the user has sixty seconds or ten minutes </w:t>
      </w:r>
      <w:r>
        <w:t xml:space="preserve">(Eppler and Mengis 2004; Miller 1956; Sweller 1988)</w:t>
      </w:r>
      <w:r>
        <w:t xml:space="preserve">. On a mobile-first retail platform this mismatch is not cosmetic; it is extra intrinsic load </w:t>
      </w:r>
      <w:r>
        <w:t xml:space="preserve">(Sweller 2023)</w:t>
      </w:r>
      <w:r>
        <w:t xml:space="preserve">.</w:t>
      </w:r>
    </w:p>
    <w:p>
      <w:pPr>
        <w:pStyle w:val="BodyText"/>
      </w:pPr>
      <w:r>
        <w:t xml:space="preserve">Recent LLM trading agents attack related problems from a different angle. FinMem layers memory by information half-life </w:t>
      </w:r>
      <w:r>
        <w:t xml:space="preserve">(Yu et al. 2024)</w:t>
      </w:r>
      <w:r>
        <w:t xml:space="preserve">. Neither that line of work nor typical chart-reading trading bots treat the</w:t>
      </w:r>
      <w:r>
        <w:t xml:space="preserve"> </w:t>
      </w:r>
      <w:r>
        <w:rPr>
          <w:iCs/>
          <w:i/>
        </w:rPr>
        <w:t xml:space="preserve">user’s available time</w:t>
      </w:r>
      <w:r>
        <w:t xml:space="preserve"> </w:t>
      </w:r>
      <w:r>
        <w:t xml:space="preserve">as a first-class computational budget, and they are evaluated as trading agents rather than as a retail decision-support interface. VESTA occupies that gap.</w:t>
      </w:r>
    </w:p>
    <w:bookmarkStart w:id="21" w:name="contributions."/>
    <w:p>
      <w:pPr>
        <w:pStyle w:val="Heading4"/>
      </w:pPr>
      <w:r>
        <w:t xml:space="preserve">Contributions.</w:t>
      </w:r>
    </w:p>
    <w:p>
      <w:pPr>
        <w:pStyle w:val="FirstParagraph"/>
      </w:pPr>
      <w:r>
        <w:t xml:space="preserve">This revision is explicit about what is, and is not, claimed.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Time-budgeted orchestration.</w:t>
      </w:r>
      <w:r>
        <w:t xml:space="preserve"> </w:t>
      </w:r>
      <w:r>
        <w:t xml:space="preserve">A Temporal Orchestration Layer maps a 1-, 3-, or 10-minute user budget onto agent-chain depth. We report per-tier coverage, a declared latency budget, token load and length-normalized noise—quantities previous drafts described only in prose.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leakage-aware evaluation protocol</w:t>
      </w:r>
      <w:r>
        <w:t xml:space="preserve"> </w:t>
      </w:r>
      <w:r>
        <w:t xml:space="preserve">for multimodal BIST decision support. We show that a realized-volatility</w:t>
      </w:r>
      <w:r>
        <w:t xml:space="preserve"> </w:t>
      </w:r>
      <w:r>
        <w:t xml:space="preserve">“</w:t>
      </w:r>
      <w:r>
        <w:t xml:space="preserve">anomaly</w:t>
      </w:r>
      <w:r>
        <w:t xml:space="preserve">”</w:t>
      </w:r>
      <w:r>
        <w:t xml:space="preserve"> </w:t>
      </w:r>
      <w:r>
        <w:t xml:space="preserve">label is a closed-form function of the</w:t>
      </w:r>
      <w:r>
        <w:t xml:space="preserve"> </w:t>
      </w:r>
      <w:r>
        <w:rPr>
          <w:iCs/>
          <w:i/>
        </w:rPr>
        <w:t xml:space="preserve">tabular</w:t>
      </w:r>
      <w:r>
        <w:t xml:space="preserve"> </w:t>
      </w:r>
      <w:r>
        <w:t xml:space="preserve">OHLCV vector at day</w:t>
      </w:r>
      <w:r>
        <w:t xml:space="preserve"> </w:t>
      </w:r>
      <m:oMath>
        <m:r>
          <m:t>t</m:t>
        </m:r>
      </m:oMath>
      <w:r>
        <w:t xml:space="preserve">, and we replace it with a forward-looking directional task. The public chart is bars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does not contain today’s candle. A tabular OHLCV baseline is reported whenever chart images are used </w:t>
      </w:r>
      <w:r>
        <w:t xml:space="preserve">(J. Jiang, Kelly, and Xiu 2023)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External fusion baselines and a decision-quality backtest.</w:t>
      </w:r>
      <w:r>
        <w:t xml:space="preserve"> </w:t>
      </w:r>
      <w:r>
        <w:t xml:space="preserve">Scalar gating is compared with GMU </w:t>
      </w:r>
      <w:r>
        <w:t xml:space="preserve">(Arevalo et al. 2017)</w:t>
      </w:r>
      <w:r>
        <w:t xml:space="preserve"> </w:t>
      </w:r>
      <w:r>
        <w:t xml:space="preserve">and tensor fusion </w:t>
      </w:r>
      <w:r>
        <w:t xml:space="preserve">(Zadeh et al. 2017)</w:t>
      </w:r>
      <w:r>
        <w:t xml:space="preserve">. Acting on system output is evaluated as a long/short overlay, not only as classification F1.</w:t>
      </w:r>
    </w:p>
    <w:p>
      <w:pPr>
        <w:pStyle w:val="FirstParagraph"/>
      </w:pPr>
      <w:r>
        <w:t xml:space="preserve">What we withdraw: Cross-Modal Gated Fusion is a standard scalar sigmoid over concatenated features </w:t>
      </w:r>
      <w:r>
        <w:t xml:space="preserve">(Arevalo et al. 2017; M. Jiang and Ji 2022)</w:t>
      </w:r>
      <w:r>
        <w:t xml:space="preserve">. It is an implementation choice, not a contribution. We also withdraw the previously reported 92.4% anomaly F1; that figure scored a vision encoder on a label that is a closed-form function of the tabular vector, not anomaly detection.</w:t>
      </w:r>
    </w:p>
    <w:bookmarkEnd w:id="21"/>
    <w:bookmarkEnd w:id="22"/>
    <w:bookmarkStart w:id="26" w:name="related-work"/>
    <w:p>
      <w:pPr>
        <w:pStyle w:val="Heading1"/>
      </w:pPr>
      <w:r>
        <w:t xml:space="preserve">Related Work</w:t>
      </w:r>
    </w:p>
    <w:bookmarkStart w:id="23" w:name="llms-and-agentic-workflows-in-finance"/>
    <w:p>
      <w:pPr>
        <w:pStyle w:val="Heading2"/>
      </w:pPr>
      <w:r>
        <w:t xml:space="preserve">LLMs and agentic workflows in finance</w:t>
      </w:r>
    </w:p>
    <w:p>
      <w:pPr>
        <w:pStyle w:val="FirstParagraph"/>
      </w:pPr>
      <w:r>
        <w:t xml:space="preserve">Financial NLP has moved from sentiment scoring </w:t>
      </w:r>
      <w:r>
        <w:t xml:space="preserve">(Sohangir et al. 2018)</w:t>
      </w:r>
      <w:r>
        <w:t xml:space="preserve"> </w:t>
      </w:r>
      <w:r>
        <w:t xml:space="preserve">to domain LLMs such as FinGPT </w:t>
      </w:r>
      <w:r>
        <w:t xml:space="preserve">(Yang, Liu, and Wang 2023)</w:t>
      </w:r>
      <w:r>
        <w:t xml:space="preserve">. Hallucination on prices and terminology remains a documented failure mode </w:t>
      </w:r>
      <w:r>
        <w:t xml:space="preserve">(Kang and Liu 2023)</w:t>
      </w:r>
      <w:r>
        <w:t xml:space="preserve">, which is why VESTA grounds text in retrieval </w:t>
      </w:r>
      <w:r>
        <w:t xml:space="preserve">(Lewis et al. 2020)</w:t>
      </w:r>
      <w:r>
        <w:t xml:space="preserve"> </w:t>
      </w:r>
      <w:r>
        <w:t xml:space="preserve">rather than in unaugmented generation. Tool-using agents </w:t>
      </w:r>
      <w:r>
        <w:t xml:space="preserve">(Yao et al. 2023)</w:t>
      </w:r>
      <w:r>
        <w:t xml:space="preserve"> </w:t>
      </w:r>
      <w:r>
        <w:t xml:space="preserve">and trading-oriented systems with layered memory </w:t>
      </w:r>
      <w:r>
        <w:t xml:space="preserve">(Yu et al. 2024)</w:t>
      </w:r>
      <w:r>
        <w:t xml:space="preserve"> </w:t>
      </w:r>
      <w:r>
        <w:t xml:space="preserve">are the closest architectural relatives. FinMem allocates memory by the</w:t>
      </w:r>
      <w:r>
        <w:t xml:space="preserve"> </w:t>
      </w:r>
      <w:r>
        <w:rPr>
          <w:iCs/>
          <w:i/>
        </w:rPr>
        <w:t xml:space="preserve">staleness of facts</w:t>
      </w:r>
      <w:r>
        <w:t xml:space="preserve">; VESTA allocates compute by the</w:t>
      </w:r>
      <w:r>
        <w:t xml:space="preserve"> </w:t>
      </w:r>
      <w:r>
        <w:rPr>
          <w:iCs/>
          <w:i/>
        </w:rPr>
        <w:t xml:space="preserve">staleness of the user’s attention</w:t>
      </w:r>
      <w:r>
        <w:t xml:space="preserve">. FinMem-style agents optimize for the trader; VESTA is scored as a briefing engine for a time-constrained retail user.</w:t>
      </w:r>
    </w:p>
    <w:bookmarkEnd w:id="23"/>
    <w:bookmarkStart w:id="24" w:name="X1fca50cd05c46a4c12151b7eb43b50b74edf4f5"/>
    <w:p>
      <w:pPr>
        <w:pStyle w:val="Heading2"/>
      </w:pPr>
      <w:r>
        <w:t xml:space="preserve">Multimodal fusion and chart understanding</w:t>
      </w:r>
    </w:p>
    <w:p>
      <w:pPr>
        <w:pStyle w:val="FirstParagraph"/>
      </w:pPr>
      <w:r>
        <w:t xml:space="preserve">GMU learns a multiplicative gate between modalities </w:t>
      </w:r>
      <w:r>
        <w:t xml:space="preserve">(Arevalo et al. 2017)</w:t>
      </w:r>
      <w:r>
        <w:t xml:space="preserve">; Tensor Fusion Networks model unimodal and bimodal interactions via an outer product </w:t>
      </w:r>
      <w:r>
        <w:t xml:space="preserve">(Zadeh et al. 2017)</w:t>
      </w:r>
      <w:r>
        <w:t xml:space="preserve">; MulT uses directional pairwise cross-modal attention </w:t>
      </w:r>
      <w:r>
        <w:t xml:space="preserve">(Tsai et al. 2019)</w:t>
      </w:r>
      <w:r>
        <w:t xml:space="preserve">. Jiang and Ji add a forget-gate over cross-modal attention maps </w:t>
      </w:r>
      <w:r>
        <w:t xml:space="preserve">(M. Jiang and Ji 2022)</w:t>
      </w:r>
      <w:r>
        <w:t xml:space="preserve">. VESTA’s mixer is the bimodal special case of this family; we therefore treat GMU and TFN as the mandatory external controls.</w:t>
      </w:r>
    </w:p>
    <w:p>
      <w:pPr>
        <w:pStyle w:val="BodyText"/>
      </w:pPr>
      <w:r>
        <w:t xml:space="preserve">On the vision side, Pix2Struct and MatCha pretrain screenshot-to-text models that read plots </w:t>
      </w:r>
      <w:r>
        <w:t xml:space="preserve">(Lee et al. 2023; Liu et al. 2023)</w:t>
      </w:r>
      <w:r>
        <w:t xml:space="preserve">. In asset pricing, Jiang, Kelly and Xiu show that CNNs on price-trend</w:t>
      </w:r>
      <w:r>
        <w:t xml:space="preserve"> </w:t>
      </w:r>
      <w:r>
        <w:rPr>
          <w:iCs/>
          <w:i/>
        </w:rPr>
        <w:t xml:space="preserve">images</w:t>
      </w:r>
      <w:r>
        <w:t xml:space="preserve"> </w:t>
      </w:r>
      <w:r>
        <w:t xml:space="preserve">extract return-predictive patterns </w:t>
      </w:r>
      <w:r>
        <w:t xml:space="preserve">(J. Jiang, Kelly, and Xiu 2023)</w:t>
      </w:r>
      <w:r>
        <w:t xml:space="preserve">. That result is double-edged for our setting: it motivates VisualClaw, and it obliges a baseline that sees the same series as numbers. Without the tabular arm, a vision score on a label computed from OHLCV is uninterpretable.</w:t>
      </w:r>
    </w:p>
    <w:p>
      <w:pPr>
        <w:pStyle w:val="BodyText"/>
      </w:pPr>
      <w:r>
        <w:t xml:space="preserve">BIST100 forecasting from technical indicators is studied by Akturk et al. </w:t>
      </w:r>
      <w:r>
        <w:t xml:space="preserve">(Akturk et al. 2026)</w:t>
      </w:r>
      <w:r>
        <w:t xml:space="preserve">; their features are numeric, which is the required control whenever a chart encoder is scored.</w:t>
      </w:r>
    </w:p>
    <w:bookmarkEnd w:id="24"/>
    <w:bookmarkStart w:id="25" w:name="cognitive-load-and-adaptive-interfaces"/>
    <w:p>
      <w:pPr>
        <w:pStyle w:val="Heading2"/>
      </w:pPr>
      <w:r>
        <w:t xml:space="preserve">Cognitive load and adaptive interfaces</w:t>
      </w:r>
    </w:p>
    <w:p>
      <w:pPr>
        <w:pStyle w:val="FirstParagraph"/>
      </w:pPr>
      <w:r>
        <w:t xml:space="preserve">Cognitive load theory requires that presented density match working-memory capacity </w:t>
      </w:r>
      <w:r>
        <w:t xml:space="preserve">(Sweller 1988, 2023; Miller 1956)</w:t>
      </w:r>
      <w:r>
        <w:t xml:space="preserve">. Information overload is a long-standing MIS construct </w:t>
      </w:r>
      <w:r>
        <w:t xml:space="preserve">(Eppler and Mengis 2004)</w:t>
      </w:r>
      <w:r>
        <w:t xml:space="preserve">. Adaptive GUIs have a documented evaluation discipline: measure whether adaptation helps the task, not only whether the widget changed </w:t>
      </w:r>
      <w:r>
        <w:t xml:space="preserve">(Gajos et al. 2006; Findlater and Gajos 2009)</w:t>
      </w:r>
      <w:r>
        <w:t xml:space="preserve">. Summarization evaluation that ignores output length systematically rewards brevity </w:t>
      </w:r>
      <w:r>
        <w:t xml:space="preserve">(Sun et al. 2019)</w:t>
      </w:r>
      <w:r>
        <w:t xml:space="preserve">. These four literatures jointly constrain our metrics (Sect. </w:t>
      </w:r>
      <w:hyperlink w:anchor="sec:metrics">
        <w:r>
          <w:rPr>
            <w:rStyle w:val="Hyperlink"/>
          </w:rPr>
          <w:t xml:space="preserve">4.3</w:t>
        </w:r>
      </w:hyperlink>
      <w:r>
        <w:t xml:space="preserve">).</w:t>
      </w:r>
    </w:p>
    <w:bookmarkEnd w:id="25"/>
    <w:bookmarkEnd w:id="26"/>
    <w:bookmarkStart w:id="34" w:name="system"/>
    <w:p>
      <w:pPr>
        <w:pStyle w:val="Heading1"/>
      </w:pPr>
      <w:r>
        <w:t xml:space="preserve">System</w:t>
      </w:r>
    </w:p>
    <w:p>
      <w:pPr>
        <w:pStyle w:val="FirstParagraph"/>
      </w:pPr>
      <w:r>
        <w:t xml:space="preserve">VESTA has three layers (Fig. </w:t>
      </w:r>
      <w:hyperlink w:anchor="fig:arch">
        <w:r>
          <w:rPr>
            <w:rStyle w:val="Hyperlink"/>
          </w:rPr>
          <w:t xml:space="preserve">1</w:t>
        </w:r>
      </w:hyperlink>
      <w:r>
        <w:t xml:space="preserve">): perception by two expert agents, an off-the-shelf fusion block, and a temporal synthesis layer that spends the user’s time budget.</w:t>
      </w:r>
    </w:p>
    <w:p>
      <w:pPr>
        <w:pStyle w:val="CaptionedFigure"/>
      </w:pPr>
      <w:r>
        <w:drawing>
          <wp:inline>
            <wp:extent cx="4693920" cy="2565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architectur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VESTA architecture. Fusion is an interchangeable block (GMU, TFN, scalar gate, or mean). The Temporal Orchestration Layer is the only named systems contribution.</w:t>
      </w:r>
    </w:p>
    <w:bookmarkStart w:id="30" w:name="X950e98809531a31f4da40497a609cfa2083891f"/>
    <w:p>
      <w:pPr>
        <w:pStyle w:val="Heading2"/>
      </w:pPr>
      <w:r>
        <w:t xml:space="preserve">DataClaw0: portfolio-conditioned retrieval</w:t>
      </w:r>
    </w:p>
    <w:p>
      <w:pPr>
        <w:pStyle w:val="FirstParagraph"/>
      </w:pPr>
      <w:r>
        <w:t xml:space="preserve">DataClaw0 is an agentic RAG loop </w:t>
      </w:r>
      <w:r>
        <w:t xml:space="preserve">(Lewis et al. 2020; Yao et al. 2023)</w:t>
      </w:r>
      <w:r>
        <w:t xml:space="preserve">, not a summarizer. Documents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 user portfolio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embedded with M3-Embedding </w:t>
      </w:r>
      <w:r>
        <w:t xml:space="preserve">(Chen et al. 2024)</w:t>
      </w:r>
      <w:r>
        <w:t xml:space="preserve">. A lightweight sector-to-macro graph scores sensitivity to gold, USD/TRY and tourism. Relevance of document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percentage change of macro-indicator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logistic function. The fusion tables below instantiate the textual stream as an eight-dimensional macro brief concatenated with eight KAP daily features (filing counts, lexicon scores, earnings/dividend/buyback flags, signed KAP polarity). Production DataClaw0 uses Eq. </w:t>
      </w:r>
      <w:hyperlink w:anchor="eq:rel">
        <w:r>
          <w:rPr>
            <w:rStyle w:val="Hyperlink"/>
          </w:rPr>
          <w:t xml:space="preserve">[eq:rel]</w:t>
        </w:r>
      </w:hyperlink>
      <w:r>
        <w:t xml:space="preserve"> </w:t>
      </w:r>
      <w:r>
        <w:t xml:space="preserve">over live KAP bodies and M3 embeddings. The public stand-in is MiniLM </w:t>
      </w:r>
      <w:r>
        <w:t xml:space="preserve">(Reimers and Gurevych 2019)</w:t>
      </w:r>
      <w:r>
        <w:t xml:space="preserve"> </w:t>
      </w:r>
      <w:r>
        <w:t xml:space="preserve">and public BGE-M3 over KAP concatenations—not Infina HTML.</w:t>
      </w:r>
    </w:p>
    <w:bookmarkEnd w:id="30"/>
    <w:bookmarkStart w:id="31" w:name="X3dc63978d124e98868e62f53713ac92af081cf0"/>
    <w:p>
      <w:pPr>
        <w:pStyle w:val="Heading2"/>
      </w:pPr>
      <w:r>
        <w:t xml:space="preserve">VisualClaw, and the numbers behind the picture</w:t>
      </w:r>
    </w:p>
    <w:p>
      <w:pPr>
        <w:pStyle w:val="FirstParagraph"/>
      </w:pPr>
      <w:r>
        <w:t xml:space="preserve">VisualClaw renders an OHLC window as an image. Production uses a compact vision backbone in the spirit of ViT </w:t>
      </w:r>
      <w:r>
        <w:t xml:space="preserve">(Dosovitskiy et al. 2021)</w:t>
      </w:r>
      <w:r>
        <w:t xml:space="preserve"> </w:t>
      </w:r>
      <w:r>
        <w:t xml:space="preserve">with recency-weighted position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 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Public tables do not train Eq. </w:t>
      </w:r>
      <w:hyperlink w:anchor="eq:pos">
        <w:r>
          <w:rPr>
            <w:rStyle w:val="Hyperlink"/>
          </w:rPr>
          <w:t xml:space="preserve">[eq:pos]</w:t>
        </w:r>
      </w:hyperlink>
      <w:r>
        <w:t xml:space="preserve">: they use a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t xml:space="preserve">grayscale MLP and a frozen ImageNet ViT-B/16 CLS probe. The chart is bars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; tabular features are computed at</w:t>
      </w:r>
      <w:r>
        <w:t xml:space="preserve"> </w:t>
      </w:r>
      <m:oMath>
        <m:r>
          <m:t>t</m:t>
        </m:r>
      </m:oMath>
      <w:r>
        <w:t xml:space="preserve">. The numeric control remains mandatory </w:t>
      </w:r>
      <w:r>
        <w:t xml:space="preserve">(J. Jiang, Kelly, and Xiu 2023)</w:t>
      </w:r>
      <w:r>
        <w:t xml:space="preserve">.</w:t>
      </w:r>
    </w:p>
    <w:bookmarkEnd w:id="31"/>
    <w:bookmarkStart w:id="32" w:name="sec:fusion"/>
    <w:p>
      <w:pPr>
        <w:pStyle w:val="Heading2"/>
      </w:pPr>
      <w:r>
        <w:t xml:space="preserve">Fusion, used not proposed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be the two streams. The scalar gate used in the production stack is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g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rPr>
                                <m:sty m:val="p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v</m:t>
                            </m:r>
                            <m:r>
                              <m:rPr>
                                <m:sty m:val="p"/>
                              </m:rPr>
                              <m:t>i</m:t>
                            </m:r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i</m:t>
                            </m:r>
                            <m:r>
                              <m:rPr>
                                <m:sty m:val="p"/>
                              </m:rPr>
                              <m:t>o</m:t>
                            </m:r>
                            <m:r>
                              <m:rPr>
                                <m:sty m:val="p"/>
                              </m:rP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tanh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tanh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m:t>v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Equations </w:t>
      </w:r>
      <w:hyperlink w:anchor="eq:gate">
        <w:r>
          <w:rPr>
            <w:rStyle w:val="Hyperlink"/>
          </w:rPr>
          <w:t xml:space="preserve">[eq:gate]</w:t>
        </w:r>
      </w:hyperlink>
      <w:r>
        <w:t xml:space="preserve">–</w:t>
      </w:r>
      <w:hyperlink w:anchor="eq:fuse">
        <w:r>
          <w:rPr>
            <w:rStyle w:val="Hyperlink"/>
          </w:rPr>
          <w:t xml:space="preserve">[eq:fuse]</w:t>
        </w:r>
      </w:hyperlink>
      <w:r>
        <w:t xml:space="preserve"> </w:t>
      </w:r>
      <w:r>
        <w:t xml:space="preserve">are the production form (learned</w:t>
      </w:r>
      <w: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</m:sub>
        </m:sSub>
      </m:oMath>
      <w:r>
        <w:t xml:space="preserve">). Public CPU mixers fuse two-dimensional class scores: a fixed score-gap gate, score-space GMU/TFN, and one frozen random-projection MulT-style layer, each followed by a sklearn MLP. No mixer is advertised as novel.</w:t>
      </w:r>
    </w:p>
    <w:bookmarkEnd w:id="32"/>
    <w:bookmarkStart w:id="33" w:name="sec:tol"/>
    <w:p>
      <w:pPr>
        <w:pStyle w:val="Heading2"/>
      </w:pPr>
      <w:r>
        <w:t xml:space="preserve">Temporal Orchestration Layer</w:t>
      </w:r>
    </w:p>
    <w:p>
      <w:pPr>
        <w:pStyle w:val="FirstParagraph"/>
      </w:pPr>
      <w:r>
        <w:t xml:space="preserve">Given fused confidence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0.5</m:t>
            </m:r>
          </m:e>
        </m:d>
      </m:oMath>
      <w:r>
        <w:t xml:space="preserve"> </w:t>
      </w:r>
      <w:r>
        <w:t xml:space="preserve">and a user budget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minutes, the layer selects a chain: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T1 (flash).</w:t>
      </w:r>
      <w:r>
        <w:t xml:space="preserve"> </w:t>
      </w:r>
      <w:r>
        <w:t xml:space="preserve">Emit a gated alert only 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0.5</m:t>
            </m:r>
          </m:e>
        </m:d>
        <m:r>
          <m:rPr>
            <m:sty m:val="p"/>
          </m:rPr>
          <m:t>&gt;</m:t>
        </m:r>
        <m:r>
          <m:t>τ</m:t>
        </m:r>
      </m:oMath>
      <w:r>
        <w:t xml:space="preserve">; otherwise abstain. Target latency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 s.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T3 (context).</w:t>
      </w:r>
      <w:r>
        <w:t xml:space="preserve"> </w:t>
      </w:r>
      <w:r>
        <w:t xml:space="preserve">Always emit the fused call plus one retrieval hop over historical analogues.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T10 (briefing).</w:t>
      </w:r>
      <w:r>
        <w:t xml:space="preserve"> </w:t>
      </w:r>
      <w:r>
        <w:t xml:space="preserve">Expand into a macro explanation and a hedge sketch (e.g. airline exposure versus a gold certificate), at several seconds of wall-clock time.</w:t>
      </w:r>
    </w:p>
    <w:p>
      <w:pPr>
        <w:pStyle w:val="FirstParagraph"/>
      </w:pPr>
      <w:r>
        <w:t xml:space="preserve">Depth, not the mixer, is what changes with</w:t>
      </w:r>
      <w:r>
        <w:t xml:space="preserve"> </w:t>
      </w:r>
      <m:oMath>
        <m:r>
          <m:t>B</m:t>
        </m:r>
      </m:oMath>
      <w:r>
        <w:t xml:space="preserve">. Section </w:t>
      </w:r>
      <w:hyperlink w:anchor="sec:tiers">
        <w:r>
          <w:rPr>
            <w:rStyle w:val="Hyperlink"/>
          </w:rPr>
          <w:t xml:space="preserve">5.4</w:t>
        </w:r>
      </w:hyperlink>
      <w:r>
        <w:t xml:space="preserve"> </w:t>
      </w:r>
      <w:r>
        <w:t xml:space="preserve">reports coverage, latency, tokens and noise per tier.</w:t>
      </w:r>
    </w:p>
    <w:bookmarkEnd w:id="33"/>
    <w:bookmarkEnd w:id="34"/>
    <w:bookmarkStart w:id="40" w:name="sec:protocol"/>
    <w:p>
      <w:pPr>
        <w:pStyle w:val="Heading1"/>
      </w:pPr>
      <w:r>
        <w:t xml:space="preserve">Evaluation Protocol</w:t>
      </w:r>
    </w:p>
    <w:bookmarkStart w:id="35" w:name="sec:leak"/>
    <w:p>
      <w:pPr>
        <w:pStyle w:val="Heading2"/>
      </w:pPr>
      <w:r>
        <w:t xml:space="preserve">Why the previous headline task does not measure anomalies</w:t>
      </w:r>
    </w:p>
    <w:p>
      <w:pPr>
        <w:pStyle w:val="FirstParagraph"/>
      </w:pPr>
      <w:r>
        <w:t xml:space="preserve">A previous draft defined a</w:t>
      </w:r>
      <w:r>
        <w:t xml:space="preserve"> </w:t>
      </w:r>
      <m:oMath>
        <m:r>
          <m:t>2</m:t>
        </m:r>
        <m:r>
          <m:t>σ</m:t>
        </m:r>
      </m:oMath>
      <w:r>
        <w:t xml:space="preserve"> </w:t>
      </w:r>
      <w:r>
        <w:t xml:space="preserve">realized-vol</w:t>
      </w:r>
      <w:r>
        <w:t xml:space="preserve"> </w:t>
      </w:r>
      <w:r>
        <w:t xml:space="preserve">“</w:t>
      </w:r>
      <w:r>
        <w:t xml:space="preserve">anomaly</w:t>
      </w:r>
      <w:r>
        <w:t xml:space="preserve">”</w:t>
      </w:r>
      <w:r>
        <w:t xml:space="preserve"> </w:t>
      </w:r>
      <w:r>
        <w:t xml:space="preserve">and reported 92.4% F1. Here the flag is 20-day vol above the mean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t>σ</m:t>
        </m:r>
      </m:oMath>
      <w:r>
        <w:t xml:space="preserve"> </w:t>
      </w:r>
      <w:r>
        <w:t xml:space="preserve">of the previous 60 vol observations—a closed-form function of the</w:t>
      </w:r>
      <w:r>
        <w:t xml:space="preserve"> </w:t>
      </w:r>
      <w:r>
        <w:rPr>
          <w:iCs/>
          <w:i/>
        </w:rPr>
        <w:t xml:space="preserve">tabular</w:t>
      </w:r>
      <w:r>
        <w:t xml:space="preserve"> </w:t>
      </w:r>
      <w:r>
        <w:t xml:space="preserve">vector 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(100% F1). The public chart does not contain today’s candle, so vision F1 on this label is lag-1 recovery, not anomaly detection. We keep the task only as a</w:t>
      </w:r>
      <w:r>
        <w:t xml:space="preserve"> </w:t>
      </w:r>
      <w:r>
        <w:rPr>
          <w:iCs/>
          <w:i/>
        </w:rPr>
        <w:t xml:space="preserve">diagnostic</w:t>
      </w:r>
      <w:r>
        <w:t xml:space="preserve">.</w:t>
      </w:r>
    </w:p>
    <w:bookmarkEnd w:id="35"/>
    <w:bookmarkStart w:id="36" w:name="primary-task-forward-direction"/>
    <w:p>
      <w:pPr>
        <w:pStyle w:val="Heading2"/>
      </w:pPr>
      <w:r>
        <w:t xml:space="preserve">Primary task: forward direction</w:t>
      </w:r>
    </w:p>
    <w:p>
      <w:pPr>
        <w:pStyle w:val="FirstParagraph"/>
      </w:pPr>
      <w:r>
        <w:t xml:space="preserve">The primary label at close of day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  <m:scr m:val="double-struck"/>
          </m:rPr>
          <m:t>1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, the sign of the next session’s BIST100 simple return. This quantity is not a function of the information set at</w:t>
      </w:r>
      <w:r>
        <w:t xml:space="preserve"> </w:t>
      </w:r>
      <m:oMath>
        <m:r>
          <m:t>t</m:t>
        </m:r>
      </m:oMath>
      <w:r>
        <w:t xml:space="preserve">. We also report a five-session horizon. Splits are chronological (70/15/15) to block look-ahead </w:t>
      </w:r>
      <w:r>
        <w:t xml:space="preserve">(Akturk et al. 2026)</w:t>
      </w:r>
      <w:r>
        <w:t xml:space="preserve">.</w:t>
      </w:r>
    </w:p>
    <w:bookmarkEnd w:id="36"/>
    <w:bookmarkStart w:id="38" w:name="sec:metrics"/>
    <w:p>
      <w:pPr>
        <w:pStyle w:val="Heading2"/>
      </w:pPr>
      <w:r>
        <w:t xml:space="preserve">Metrics</w:t>
      </w:r>
    </w:p>
    <w:p>
      <w:pPr>
        <w:pStyle w:val="FirstParagraph"/>
      </w:pPr>
      <w:r>
        <w:rPr>
          <w:bCs/>
          <w:b/>
        </w:rPr>
        <w:t xml:space="preserve">Classification.</w:t>
      </w:r>
      <w:r>
        <w:t xml:space="preserve"> </w:t>
      </w:r>
      <w:r>
        <w:t xml:space="preserve">Accuracy and macro-F1, 95%</w:t>
      </w:r>
      <w:r>
        <w:t xml:space="preserve"> </w:t>
      </w:r>
      <m:oMath>
        <m:r>
          <m:t>t</m:t>
        </m:r>
      </m:oMath>
      <w:r>
        <w:t xml:space="preserve">-intervals over five seeds. McNemar with continuity correction </w:t>
      </w:r>
      <w:r>
        <w:t xml:space="preserve">(Dietterich 1998)</w:t>
      </w:r>
      <w:r>
        <w:t xml:space="preserve"> </w:t>
      </w:r>
      <w:r>
        <w:t xml:space="preserve">on seed 0 of one chronological holdout. Table </w:t>
      </w:r>
      <w:hyperlink w:anchor="tab:fw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has thirteen rows; McNemar is mixer-only. We do not crown a winner after a multiple-testing haircut </w:t>
      </w:r>
      <w:r>
        <w:t xml:space="preserve">(Harvey, Liu, and Zhu 2016)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Sentiment / technical accuracy.</w:t>
      </w:r>
      <w:r>
        <w:t xml:space="preserve"> </w:t>
      </w:r>
      <w:r>
        <w:t xml:space="preserve">Table </w:t>
      </w:r>
      <w:hyperlink w:anchor="tab:prox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puts the old screenshot numbers into a table. Macro flags and KAP polarity are deterministic rules on one chronological split (no seed CI). Vision and tabular are five-seed means from Table </w:t>
      </w:r>
      <w:hyperlink w:anchor="tab:fwd">
        <w:r>
          <w:rPr>
            <w:rStyle w:val="Hyperlink"/>
          </w:rPr>
          <w:t xml:space="preserve">3</w:t>
        </w:r>
      </w:hyperlink>
      <w:r>
        <w:t xml:space="preserve">. Three KAP codebooks on the 10k slice give Fleiss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0.50</m:t>
        </m:r>
      </m:oMath>
      <w:r>
        <w:t xml:space="preserve">; chart A/B Cohen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0.52</m:t>
        </m:r>
      </m:oMath>
      <w:r>
        <w:t xml:space="preserve"> </w:t>
      </w:r>
      <w:r>
        <w:t xml:space="preserve">(Cohen 1960)</w:t>
      </w:r>
      <w:r>
        <w:t xml:space="preserve">. Codebook reliability, not the withdrawn 0.81. The 250-row annotator columns are codebook B.</w:t>
      </w:r>
    </w:p>
    <w:bookmarkStart w:id="37" w:name="tab:proxy"/>
    <w:p>
      <w:pPr>
        <w:pStyle w:val="TableCaption"/>
      </w:pPr>
      <w:r>
        <w:t xml:space="preserve">Proxy accuracy vs next-day direction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(test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308</m:t>
        </m:r>
      </m:oMath>
      <w:r>
        <w:t xml:space="preserve">). Macro/KAP are single-split rules; vision/tabular are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95% CI over five seeds.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roxy accuracy vs next-day direction y_{t+1} (test n=308). Macro/KAP are single-split rules; vision/tabular are mean \pm 95% CI over five seeds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Proxy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Acc. 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flags (USD/TRY, gold, vol, shock)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54.9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 polarity (lexicon on public list text)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49.7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</w:t>
            </w:r>
            <w:r>
              <w:t xml:space="preserve"> </w:t>
            </w:r>
            <m:oMath>
              <m:r>
                <m:t>24</m:t>
              </m:r>
              <m:r>
                <m:rPr>
                  <m:sty m:val="p"/>
                </m:rPr>
                <m:t>×</m:t>
              </m:r>
              <m:r>
                <m:t>24</m:t>
              </m:r>
            </m:oMath>
            <w:r>
              <w:t xml:space="preserve"> </w:t>
            </w:r>
            <w:r>
              <w:t xml:space="preserve">MLP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52.9</m:t>
              </m:r>
              <m:r>
                <m:rPr>
                  <m:sty m:val="p"/>
                </m:rPr>
                <m:t>±</m:t>
              </m:r>
              <m:r>
                <m:t>2.3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 OHLCV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50.6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</w:tr>
    </w:tbl>
    <w:bookmarkEnd w:id="37"/>
    <w:p>
      <w:pPr>
        <w:pStyle w:val="BodyText"/>
      </w:pPr>
      <w:r>
        <w:rPr>
          <w:bCs/>
          <w:b/>
        </w:rPr>
        <w:t xml:space="preserve">Information noise, revised.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be tokens in the unprocessed window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tokens actually delivered. Let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be delivered tokens that are not in a relevance lexicon for that window. The previous index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rewards short answers: a 40-token briefing that is 80% filler still looks excellent against a 700-token feed </w:t>
      </w:r>
      <w:r>
        <w:t xml:space="preserve">(Sun et al. 2019)</w:t>
      </w:r>
      <w:r>
        <w:t xml:space="preserve">. We therefore report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/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the fraction of the</w:t>
      </w:r>
      <w:r>
        <w:t xml:space="preserve"> </w:t>
      </w:r>
      <w:r>
        <w:rPr>
          <w:iCs/>
          <w:i/>
        </w:rPr>
        <w:t xml:space="preserve">payload</w:t>
      </w:r>
      <w:r>
        <w:t xml:space="preserve"> </w:t>
      </w:r>
      <w:r>
        <w:t xml:space="preserve">that is non-actionable, together with the compression ratio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w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is retained only to show the bias. In the public runtime both counts are computed on</w:t>
      </w:r>
      <w:r>
        <w:t xml:space="preserve"> </w:t>
      </w:r>
      <w:r>
        <w:rPr>
          <w:iCs/>
          <w:i/>
        </w:rPr>
        <w:t xml:space="preserve">templated</w:t>
      </w:r>
      <w:r>
        <w:t xml:space="preserve"> </w:t>
      </w:r>
      <w:r>
        <w:t xml:space="preserve">token bags with filler padding, not on production LLM tokens.</w:t>
      </w:r>
    </w:p>
    <w:p>
      <w:pPr>
        <w:pStyle w:val="BodyText"/>
      </w:pPr>
      <w:r>
        <w:rPr>
          <w:bCs/>
          <w:b/>
        </w:rPr>
        <w:t xml:space="preserve">Decision quality.</w:t>
      </w:r>
      <w:r>
        <w:t xml:space="preserve"> </w:t>
      </w:r>
      <w:r>
        <w:t xml:space="preserve">Classification F1 does not say whether a user who</w:t>
      </w:r>
      <w:r>
        <w:t xml:space="preserve"> </w:t>
      </w:r>
      <w:r>
        <w:rPr>
          <w:iCs/>
          <w:i/>
        </w:rPr>
        <w:t xml:space="preserve">acts</w:t>
      </w:r>
      <w:r>
        <w:t xml:space="preserve"> </w:t>
      </w:r>
      <w:r>
        <w:t xml:space="preserve">is better off </w:t>
      </w:r>
      <w:r>
        <w:t xml:space="preserve">(Findlater and Gajos 2009)</w:t>
      </w:r>
      <w:r>
        <w:t xml:space="preserve">. We paper-trade a long/short overlay: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model predicts up,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otherwise, with 5 bp round-trip cost, and compare Sharpe, total return and max drawdown to buy-and-hold. This is not a substitute for a human-subjects study (Sect. </w:t>
      </w:r>
      <w:hyperlink w:anchor="sec:user">
        <w:r>
          <w:rPr>
            <w:rStyle w:val="Hyperlink"/>
          </w:rPr>
          <w:t xml:space="preserve">6</w:t>
        </w:r>
      </w:hyperlink>
      <w:r>
        <w:t xml:space="preserve">); it is the missing computational control.</w:t>
      </w:r>
    </w:p>
    <w:bookmarkEnd w:id="38"/>
    <w:bookmarkStart w:id="39" w:name="public-replication-corpus"/>
    <w:p>
      <w:pPr>
        <w:pStyle w:val="Heading2"/>
      </w:pPr>
      <w:r>
        <w:t xml:space="preserve">Public replication corpus</w:t>
      </w:r>
    </w:p>
    <w:p>
      <w:pPr>
        <w:pStyle w:val="FirstParagraph"/>
      </w:pPr>
      <w:r>
        <w:t xml:space="preserve">Production KAP HTML bodies and M3 embeddings cannot leave Infina. Numbers below use</w:t>
      </w:r>
      <w:r>
        <w:t xml:space="preserve"> </w:t>
      </w:r>
      <w:r>
        <w:rPr>
          <w:bCs/>
          <w:b/>
        </w:rPr>
        <w:t xml:space="preserve">VESTA-Public</w:t>
      </w:r>
      <w:r>
        <w:t xml:space="preserve">: XU100.IS, USDTRY and COMEX gold from 24 May 2018 to 19 August 2026 (2</w:t>
      </w:r>
      <w:r>
        <w:t xml:space="preserve">,</w:t>
      </w:r>
      <w:r>
        <w:t xml:space="preserve">052 index windows after a 40-day lookback; test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308</m:t>
        </m:r>
      </m:oMath>
      <w:r>
        <w:t xml:space="preserve"> </w:t>
      </w:r>
      <w:r>
        <w:t xml:space="preserve">from 27 May 2025), 27 BIST names, and 39</w:t>
      </w:r>
      <w:r>
        <w:t xml:space="preserve">,</w:t>
      </w:r>
      <w:r>
        <w:t xml:space="preserve">890 public KAP list filings. Tables </w:t>
      </w:r>
      <w:hyperlink w:anchor="tab:leak">
        <w:r>
          <w:rPr>
            <w:rStyle w:val="Hyperlink"/>
          </w:rPr>
          <w:t xml:space="preserve">2</w:t>
        </w:r>
      </w:hyperlink>
      <w:r>
        <w:t xml:space="preserve">–</w:t>
      </w:r>
      <w:hyperlink w:anchor="tab:b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are index-level; the 37</w:t>
      </w:r>
      <w:r>
        <w:t xml:space="preserve">,</w:t>
      </w:r>
      <w:r>
        <w:t xml:space="preserve">046-row event panel also labels constituents. KAP-only polarity: 7</w:t>
      </w:r>
      <w:r>
        <w:t xml:space="preserve">,</w:t>
      </w:r>
      <w:r>
        <w:t xml:space="preserve">172 / 3</w:t>
      </w:r>
      <w:r>
        <w:t xml:space="preserve">,</w:t>
      </w:r>
      <w:r>
        <w:t xml:space="preserve">742 / 26</w:t>
      </w:r>
      <w:r>
        <w:t xml:space="preserve">,</w:t>
      </w:r>
      <w:r>
        <w:t xml:space="preserve">132 (bullish / bearish / neutral); 15</w:t>
      </w:r>
      <w:r>
        <w:t xml:space="preserve">,</w:t>
      </w:r>
      <w:r>
        <w:t xml:space="preserve">212 rows have a cached HTML body. Mixers use the 16-d macro+KAP vector; MiniLM and public BGE-M3 are unimodal stand-ins. We do not recycle private VESTA-10K F1.</w:t>
      </w:r>
    </w:p>
    <w:bookmarkEnd w:id="39"/>
    <w:bookmarkEnd w:id="40"/>
    <w:bookmarkStart w:id="57" w:name="sec:exp"/>
    <w:p>
      <w:pPr>
        <w:pStyle w:val="Heading1"/>
      </w:pPr>
      <w:r>
        <w:t xml:space="preserve">Experiments</w:t>
      </w:r>
    </w:p>
    <w:p>
      <w:pPr>
        <w:pStyle w:val="FirstParagraph"/>
      </w:pPr>
      <w:r>
        <w:t xml:space="preserve">Unimodal encoders are sklearn MLPs (64-32, Adam, early stopping) on standardized features. Vision sees a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t xml:space="preserve">grayscale candlestick of bars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; tabular sees eleven OHLCV/macro features at</w:t>
      </w:r>
      <w:r>
        <w:t xml:space="preserve"> </w:t>
      </w:r>
      <m:oMath>
        <m:r>
          <m:t>t</m:t>
        </m:r>
      </m:oMath>
      <w:r>
        <w:t xml:space="preserve">, including the ingredients of the leaked vol rule; text sees the sixteen-dimensional macro+KAP vector. Five seeds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 This is a CPU-reproducible instantiation, not a 70B distillation. Public BGE-M3 and frozen ViT-B/16 are unimodal probes; they are not plugged into the mixers in Table </w:t>
      </w:r>
      <w:hyperlink w:anchor="tab:fwd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45" w:name="diagnostic-the-leaked-volatility-label"/>
    <w:p>
      <w:pPr>
        <w:pStyle w:val="Heading2"/>
      </w:pPr>
      <w:r>
        <w:t xml:space="preserve">Diagnostic: the leaked volatility label</w:t>
      </w:r>
    </w:p>
    <w:p>
      <w:pPr>
        <w:pStyle w:val="FirstParagraph"/>
      </w:pPr>
      <w:r>
        <w:t xml:space="preserve">Table </w:t>
      </w:r>
      <w:hyperlink w:anchor="tab:leak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Fig. </w:t>
      </w:r>
      <w:hyperlink w:anchor="fig:leak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confirm the closed-form critique. The</w:t>
      </w:r>
      <w:r>
        <w:t xml:space="preserve"> </w:t>
      </w:r>
      <m:oMath>
        <m:r>
          <m:t>2</m:t>
        </m:r>
        <m:r>
          <m:t>σ</m:t>
        </m:r>
      </m:oMath>
      <w:r>
        <w:t xml:space="preserve"> </w:t>
      </w:r>
      <w:r>
        <w:t xml:space="preserve">rule on the tabular vector scores 100% F1. A tabular MLP that is given those numbers reaches 96.8% accuracy (macro-F1 86.6%; the F1 drop is class imbalance: 9.4% positives). The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t xml:space="preserve">vision encoder, which never sees day</w:t>
      </w:r>
      <w:r>
        <w:t xml:space="preserve"> </w:t>
      </w:r>
      <m:oMath>
        <m:r>
          <m:t>t</m:t>
        </m:r>
      </m:oMath>
      <w:r>
        <w:t xml:space="preserve">’s candle, falls to 90.6% accuracy and 58.2% F1.</w:t>
      </w:r>
    </w:p>
    <w:bookmarkStart w:id="41" w:name="tab:leak"/>
    <w:p>
      <w:pPr>
        <w:pStyle w:val="TableCaption"/>
      </w:pPr>
      <w:r>
        <w:t xml:space="preserve">Diagnostic task:</w:t>
      </w:r>
      <w:r>
        <w:t xml:space="preserve"> </w:t>
      </w:r>
      <m:oMath>
        <m:r>
          <m:t>2</m:t>
        </m:r>
        <m:r>
          <m:t>σ</m:t>
        </m:r>
      </m:oMath>
      <w:r>
        <w:t xml:space="preserve"> </w:t>
      </w:r>
      <w:r>
        <w:t xml:space="preserve">realized-vol label, computable from the tabular vector at</w:t>
      </w:r>
      <w:r>
        <w:t xml:space="preserve"> </w:t>
      </w:r>
      <m:oMath>
        <m:r>
          <m:t>t</m:t>
        </m:r>
      </m:oMath>
      <w:r>
        <w:t xml:space="preserve">.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95% CI over five seeds. Vision sees bars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iagnostic task: 2\sigma realized-vol label, computable from the tabular vector at t. Mean \pm 95% CI over five seeds. Vision sees bars t-40,\ldots,t-1 only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Macro-F1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Closed-form OHLCV rule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 MLP (same numbers)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96.8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86.6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MLP (chart image)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90.6</m:t>
              </m:r>
              <m:r>
                <m:rPr>
                  <m:sty m:val="p"/>
                </m:rPr>
                <m:t>±</m:t>
              </m:r>
              <m:r>
                <m:t>1.1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58.2</m:t>
              </m:r>
              <m:r>
                <m:rPr>
                  <m:sty m:val="p"/>
                </m:rPr>
                <m:t>±</m:t>
              </m:r>
              <m:r>
                <m:t>3.0</m:t>
              </m:r>
            </m:oMath>
          </w:p>
        </w:tc>
      </w:tr>
    </w:tbl>
    <w:bookmarkEnd w:id="41"/>
    <w:p>
      <w:pPr>
        <w:pStyle w:val="CaptionedFigure"/>
      </w:pPr>
      <w:r>
        <w:drawing>
          <wp:inline>
            <wp:extent cx="3307080" cy="212568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leaka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125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Leaked-label diagnostic. The numeric rule is perfect; the picture is not. This is why the previous 92.4% F1 is withdrawn.</w:t>
      </w:r>
    </w:p>
    <w:bookmarkEnd w:id="45"/>
    <w:bookmarkStart w:id="47" w:name="primary-task-next-day-direction"/>
    <w:p>
      <w:pPr>
        <w:pStyle w:val="Heading2"/>
      </w:pPr>
      <w:r>
        <w:t xml:space="preserve">Primary task: next-day direction</w:t>
      </w:r>
    </w:p>
    <w:p>
      <w:pPr>
        <w:pStyle w:val="FirstParagraph"/>
      </w:pPr>
      <w:r>
        <w:t xml:space="preserve">Table </w:t>
      </w:r>
      <w:hyperlink w:anchor="tab:fw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leakage-free task (test prior 52.3% up-days). Text-only (macro</w:t>
      </w:r>
      <m:oMath>
        <m:r>
          <m:rPr>
            <m:sty m:val="p"/>
          </m:rPr>
          <m:t>+</m:t>
        </m:r>
      </m:oMath>
      <w:r>
        <w:t xml:space="preserve">KAP) macro-F1 is</w:t>
      </w:r>
      <w:r>
        <w:t xml:space="preserve"> </w:t>
      </w:r>
      <m:oMath>
        <m:r>
          <m:t>47.3</m:t>
        </m:r>
        <m:r>
          <m:rPr>
            <m:sty m:val="p"/>
          </m:rPr>
          <m:t>±</m:t>
        </m:r>
        <m:r>
          <m:t>1.5</m:t>
        </m:r>
      </m:oMath>
      <w:r>
        <w:t xml:space="preserve"> </w:t>
      </w:r>
      <w:r>
        <w:t xml:space="preserve">against a majority F1 of</w:t>
      </w:r>
      <w:r>
        <w:t xml:space="preserve"> </w:t>
      </w:r>
      <m:oMath>
        <m:r>
          <m:t>34.3</m:t>
        </m:r>
      </m:oMath>
      <w:r>
        <w:t xml:space="preserve">; MiniLM</w:t>
      </w:r>
      <w:r>
        <w:t xml:space="preserve"> </w:t>
      </w:r>
      <m:oMath>
        <m:r>
          <m:t>53.0</m:t>
        </m:r>
        <m:r>
          <m:rPr>
            <m:sty m:val="p"/>
          </m:rPr>
          <m:t>±</m:t>
        </m:r>
        <m:r>
          <m:t>0.4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50.7</m:t>
        </m:r>
        <m:r>
          <m:rPr>
            <m:sty m:val="p"/>
          </m:rPr>
          <m:t>±</m:t>
        </m:r>
        <m:r>
          <m:t>1.9</m:t>
        </m:r>
      </m:oMath>
      <w:r>
        <w:t xml:space="preserve">; public BGE-M3</w:t>
      </w:r>
      <w:r>
        <w:t xml:space="preserve"> </w:t>
      </w:r>
      <m:oMath>
        <m:r>
          <m:t>51.1</m:t>
        </m:r>
        <m:r>
          <m:rPr>
            <m:sty m:val="p"/>
          </m:rPr>
          <m:t>±</m:t>
        </m:r>
        <m:r>
          <m:t>1.9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50.2</m:t>
        </m:r>
        <m:r>
          <m:rPr>
            <m:sty m:val="p"/>
          </m:rPr>
          <m:t>±</m:t>
        </m:r>
        <m:r>
          <m:t>2.1</m:t>
        </m:r>
      </m:oMath>
      <w:r>
        <w:t xml:space="preserve">; frozen ViT-B/16</w:t>
      </w:r>
      <w:r>
        <w:t xml:space="preserve"> </w:t>
      </w:r>
      <m:oMath>
        <m:r>
          <m:t>50.9</m:t>
        </m:r>
        <m:r>
          <m:rPr>
            <m:sty m:val="p"/>
          </m:rPr>
          <m:t>±</m:t>
        </m:r>
        <m:r>
          <m:t>1.4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50.3</m:t>
        </m:r>
        <m:r>
          <m:rPr>
            <m:sty m:val="p"/>
          </m:rPr>
          <m:t>±</m:t>
        </m:r>
        <m:r>
          <m:t>1.6</m:t>
        </m:r>
      </m:oMath>
      <w:r>
        <w:t xml:space="preserve">. Mixers share 16-d text and the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t xml:space="preserve">image; none beats GMU on seed 0 (min. McNemar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0.46</m:t>
        </m:r>
      </m:oMath>
      <w:r>
        <w:t xml:space="preserve">). Mean fusion is the five-seed point estimate (</w:t>
      </w:r>
      <m:oMath>
        <m:r>
          <m:t>53.0</m:t>
        </m:r>
        <m:r>
          <m:rPr>
            <m:sty m:val="p"/>
          </m:rPr>
          <m:t>±</m:t>
        </m:r>
        <m:r>
          <m:t>2.2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52.4</m:t>
        </m:r>
        <m:r>
          <m:rPr>
            <m:sty m:val="p"/>
          </m:rPr>
          <m:t>±</m:t>
        </m:r>
        <m:r>
          <m:t>2.3</m:t>
        </m:r>
      </m:oMath>
      <w:r>
        <w:t xml:space="preserve">). Five-day tabular accuracy is 59.1% with collapsed F1 (39.9%).</w:t>
      </w:r>
    </w:p>
    <w:bookmarkStart w:id="46" w:name="tab:fwd"/>
    <w:p>
      <w:pPr>
        <w:pStyle w:val="TableCaption"/>
      </w:pPr>
      <w:r>
        <w:t xml:space="preserve">Next-day BIST100 direction on VESTA-Public (test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308</m:t>
        </m:r>
      </m:oMath>
      <w:r>
        <w:t xml:space="preserve">).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95% CI, five seeds. MiniLM, BGE-M3 and ViT are unimodal probes, not mixer inputs. Mixers: GMU </w:t>
      </w:r>
      <w:r>
        <w:t xml:space="preserve">(Arevalo et al. 2017)</w:t>
      </w:r>
      <w:r>
        <w:t xml:space="preserve">, TFN </w:t>
      </w:r>
      <w:r>
        <w:t xml:space="preserve">(Zadeh et al. 2017)</w:t>
      </w:r>
      <w:r>
        <w:t xml:space="preserve">, MulT-style </w:t>
      </w:r>
      <w:r>
        <w:t xml:space="preserve">(Tsai et al. 2019)</w:t>
      </w:r>
      <w:r>
        <w:t xml:space="preserve">. The scalar gate row is score-space, not the production</w:t>
      </w:r>
      <w: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Eqs. </w:t>
      </w:r>
      <w:hyperlink w:anchor="eq:gate">
        <w:r>
          <w:rPr>
            <w:rStyle w:val="Hyperlink"/>
          </w:rPr>
          <w:t xml:space="preserve">[eq:gate]</w:t>
        </w:r>
      </w:hyperlink>
      <w:r>
        <w:t xml:space="preserve">–</w:t>
      </w:r>
      <w:hyperlink w:anchor="eq:fuse">
        <w:r>
          <w:rPr>
            <w:rStyle w:val="Hyperlink"/>
          </w:rPr>
          <w:t xml:space="preserve">[eq:fuse]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Next-day BIST100 direction on VESTA-Public (test n=308). Mean \pm 95% CI, five seeds. MiniLM, BGE-M3 and ViT are unimodal probes, not mixer inputs. Mixers: GMU (Arevalo et al. 2017), TFN (Zadeh et al. 2017), MulT-style (Tsai et al. 2019). The scalar gate row is score-space, not the production W_g of Eqs. [eq:gate]–[eq:fuse]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Macro-F1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Majority class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52.3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34.3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Text-only (macro + KAP)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52.1</m:t>
              </m:r>
              <m:r>
                <m:rPr>
                  <m:sty m:val="p"/>
                </m:rPr>
                <m:t>±</m:t>
              </m:r>
              <m:r>
                <m:t>2.4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47.3</m:t>
              </m:r>
              <m:r>
                <m:rPr>
                  <m:sty m:val="p"/>
                </m:rPr>
                <m:t>±</m:t>
              </m:r>
              <m:r>
                <m:t>1.5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Text-only (MiniLM KAP)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53.0</m:t>
              </m:r>
              <m:r>
                <m:rPr>
                  <m:sty m:val="p"/>
                </m:rPr>
                <m:t>±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50.7</m:t>
              </m:r>
              <m:r>
                <m:rPr>
                  <m:sty m:val="p"/>
                </m:rPr>
                <m:t>±</m:t>
              </m:r>
              <m:r>
                <m:t>1.9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Text-only (public BGE-M3)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51.1</m:t>
              </m:r>
              <m:r>
                <m:rPr>
                  <m:sty m:val="p"/>
                </m:rPr>
                <m:t>±</m:t>
              </m:r>
              <m:r>
                <m:t>1.9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50.2</m:t>
              </m:r>
              <m:r>
                <m:rPr>
                  <m:sty m:val="p"/>
                </m:rPr>
                <m:t>±</m:t>
              </m:r>
              <m:r>
                <m:t>2.1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 OHLCV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50.6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41.8</m:t>
              </m:r>
              <m:r>
                <m:rPr>
                  <m:sty m:val="p"/>
                </m:rPr>
                <m:t>±</m:t>
              </m:r>
              <m:r>
                <m:t>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Vision-only (</w:t>
            </w:r>
            <m:oMath>
              <m:r>
                <m:t>24</m:t>
              </m:r>
              <m:r>
                <m:rPr>
                  <m:sty m:val="p"/>
                </m:rPr>
                <m:t>×</m:t>
              </m:r>
              <m:r>
                <m:t>24</m:t>
              </m:r>
            </m:oMath>
            <w:r>
              <w:t xml:space="preserve"> </w:t>
            </w:r>
            <w:r>
              <w:t xml:space="preserve">MLP)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52.9</m:t>
              </m:r>
              <m:r>
                <m:rPr>
                  <m:sty m:val="p"/>
                </m:rPr>
                <m:t>±</m:t>
              </m:r>
              <m:r>
                <m:t>2.3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51.4</m:t>
              </m:r>
              <m:r>
                <m:rPr>
                  <m:sty m:val="p"/>
                </m:rPr>
                <m:t>±</m:t>
              </m:r>
              <m:r>
                <m:t>2.6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Vision-only (frozen ViT-B/16)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50.9</m:t>
              </m:r>
              <m:r>
                <m:rPr>
                  <m:sty m:val="p"/>
                </m:rPr>
                <m:t>±</m:t>
              </m:r>
              <m:r>
                <m:t>1.4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50.3</m:t>
              </m:r>
              <m:r>
                <m:rPr>
                  <m:sty m:val="p"/>
                </m:rPr>
                <m:t>±</m:t>
              </m:r>
              <m:r>
                <m:t>1.6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fusion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53.0</m:t>
              </m:r>
              <m:r>
                <m:rPr>
                  <m:sty m:val="p"/>
                </m:rPr>
                <m:t>±</m:t>
              </m:r>
              <m:r>
                <m:t>2.2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52.4</m:t>
              </m:r>
              <m:r>
                <m:rPr>
                  <m:sty m:val="p"/>
                </m:rPr>
                <m:t>±</m:t>
              </m:r>
              <m:r>
                <m:t>2.3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50.6</m:t>
              </m:r>
              <m:r>
                <m:rPr>
                  <m:sty m:val="p"/>
                </m:rPr>
                <m:t>±</m:t>
              </m:r>
              <m:r>
                <m:t>2.4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50.6</m:t>
              </m:r>
              <m:r>
                <m:rPr>
                  <m:sty m:val="p"/>
                </m:rPr>
                <m:t>±</m:t>
              </m:r>
              <m:r>
                <m:t>2.4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52.1</m:t>
              </m:r>
              <m:r>
                <m:rPr>
                  <m:sty m:val="p"/>
                </m:rPr>
                <m:t>±</m:t>
              </m:r>
              <m:r>
                <m:t>2.1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51.7</m:t>
              </m:r>
              <m:r>
                <m:rPr>
                  <m:sty m:val="p"/>
                </m:rPr>
                <m:t>±</m:t>
              </m:r>
              <m:r>
                <m:t>2.1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MulT-style (CPU, one layer)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50.2</m:t>
              </m:r>
              <m:r>
                <m:rPr>
                  <m:sty m:val="p"/>
                </m:rPr>
                <m:t>±</m:t>
              </m:r>
              <m:r>
                <m:t>3.1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48.4</m:t>
              </m:r>
              <m:r>
                <m:rPr>
                  <m:sty m:val="p"/>
                </m:rPr>
                <m:t>±</m:t>
              </m:r>
              <m:r>
                <m:t>3.0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Scalar gate (score-space)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51.8</m:t>
              </m:r>
              <m:r>
                <m:rPr>
                  <m:sty m:val="p"/>
                </m:rPr>
                <m:t>±</m:t>
              </m:r>
              <m:r>
                <m:t>1.7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51.4</m:t>
              </m:r>
              <m:r>
                <m:rPr>
                  <m:sty m:val="p"/>
                </m:rPr>
                <m:t>±</m:t>
              </m:r>
              <m:r>
                <m:t>1.8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Concatenation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52.8</m:t>
              </m:r>
              <m:r>
                <m:rPr>
                  <m:sty m:val="p"/>
                </m:rPr>
                <m:t>±</m:t>
              </m:r>
              <m:r>
                <m:t>1.8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51.1</m:t>
              </m:r>
              <m:r>
                <m:rPr>
                  <m:sty m:val="p"/>
                </m:rPr>
                <m:t>±</m:t>
              </m:r>
              <m:r>
                <m:t>2.3</m:t>
              </m:r>
            </m:oMath>
          </w:p>
        </w:tc>
      </w:tr>
    </w:tbl>
    <w:bookmarkEnd w:id="46"/>
    <w:p>
      <w:pPr>
        <w:pStyle w:val="BodyText"/>
      </w:pPr>
      <w:r>
        <w:t xml:space="preserve">Replacing the gate with a fixed mean changes five-seed F1 from</w:t>
      </w:r>
      <w:r>
        <w:t xml:space="preserve"> </w:t>
      </w:r>
      <m:oMath>
        <m:r>
          <m:t>51.4</m:t>
        </m:r>
        <m:r>
          <m:rPr>
            <m:sty m:val="p"/>
          </m:rPr>
          <m:t>±</m:t>
        </m:r>
        <m:r>
          <m:t>1.8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52.4</m:t>
        </m:r>
        <m:r>
          <m:rPr>
            <m:sty m:val="p"/>
          </m:rPr>
          <m:t>±</m:t>
        </m:r>
        <m:r>
          <m:t>2.3</m:t>
        </m:r>
      </m:oMath>
      <w:r>
        <w:t xml:space="preserve"> </w:t>
      </w:r>
      <w:r>
        <w:t xml:space="preserve">(seed-0 McNemar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). The previous claim that</w:t>
      </w:r>
      <w:r>
        <w:t xml:space="preserve"> </w:t>
      </w:r>
      <w:r>
        <w:t xml:space="preserve">“</w:t>
      </w:r>
      <w:r>
        <w:t xml:space="preserve">mean fusion collapses toward the weaker modality</w:t>
      </w:r>
      <w:r>
        <w:t xml:space="preserve">”</w:t>
      </w:r>
      <w:r>
        <w:t xml:space="preserve"> </w:t>
      </w:r>
      <w:r>
        <w:t xml:space="preserve">is not supported here.</w:t>
      </w:r>
    </w:p>
    <w:bookmarkEnd w:id="47"/>
    <w:bookmarkStart w:id="49" w:name="sec:vlm"/>
    <w:p>
      <w:pPr>
        <w:pStyle w:val="Heading2"/>
      </w:pPr>
      <w:r>
        <w:t xml:space="preserve">Zero-shot Pix2Struct and MatCha</w:t>
      </w:r>
    </w:p>
    <w:p>
      <w:pPr>
        <w:pStyle w:val="FirstParagraph"/>
      </w:pPr>
      <w:r>
        <w:t xml:space="preserve">We run zero-shot DePlot (Pix2Struct chart-to-table) </w:t>
      </w:r>
      <w:r>
        <w:t xml:space="preserve">(Lee et al. 2023)</w:t>
      </w:r>
      <w:r>
        <w:t xml:space="preserve"> </w:t>
      </w:r>
      <w:r>
        <w:t xml:space="preserve">and MatCha-ChartQA </w:t>
      </w:r>
      <w:r>
        <w:t xml:space="preserve">(Liu et al. 2023)</w:t>
      </w:r>
      <w:r>
        <w:t xml:space="preserve"> </w:t>
      </w:r>
      <w:r>
        <w:t xml:space="preserve">on CPU matplotlib screenshots of the full test window (</w:t>
      </w:r>
      <m:oMath>
        <m:r>
          <m:t>n</m:t>
        </m:r>
        <m:r>
          <m:rPr>
            <m:sty m:val="p"/>
          </m:rPr>
          <m:t>=</m:t>
        </m:r>
        <m:r>
          <m:t>308</m:t>
        </m:r>
      </m:oMath>
      <w:r>
        <w:t xml:space="preserve">), with no fine-tune. Calls are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</m:sub>
            </m:sSub>
          </m:e>
        </m:d>
      </m:oMath>
      <w:r>
        <w:t xml:space="preserve">. Table </w:t>
      </w:r>
      <w:hyperlink w:anchor="tab:vlm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also scores the numeric window trend of the input OHLC, which is still not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DePlot parses 307/308 images and recovers that trend on 77.9% of days; next-day accuracy is 52.9%. MatCha-ChartQA often returns the bar index (parse rate 166/308) and matches the majority class on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bookmarkStart w:id="48" w:name="tab:vlm"/>
    <w:p>
      <w:pPr>
        <w:pStyle w:val="TableCaption"/>
      </w:pPr>
      <w:r>
        <w:t xml:space="preserve">Zero-shot CPU screenshot VLMs on the full test window (</w:t>
      </w:r>
      <m:oMath>
        <m:r>
          <m:t>n</m:t>
        </m:r>
        <m:r>
          <m:rPr>
            <m:sty m:val="p"/>
          </m:rPr>
          <m:t>=</m:t>
        </m:r>
        <m:r>
          <m:t>308</m:t>
        </m:r>
      </m:oMath>
      <w:r>
        <w:t xml:space="preserve">). Not fine-tuned.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Zero-shot CPU screenshot VLMs on the full test window (n=308). Not fine-tuned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Acc. vs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Acc. vs window 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Majority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52.3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34.3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 window trend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51.6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49.5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DePlot (Pix2Struct)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52.9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51.9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77.9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MatCha-ChartQA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52.3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46.0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58.4</m:t>
              </m:r>
            </m:oMath>
          </w:p>
        </w:tc>
      </w:tr>
    </w:tbl>
    <w:bookmarkEnd w:id="48"/>
    <w:bookmarkEnd w:id="49"/>
    <w:bookmarkStart w:id="54" w:name="sec:tiers"/>
    <w:p>
      <w:pPr>
        <w:pStyle w:val="Heading2"/>
      </w:pPr>
      <w:r>
        <w:t xml:space="preserve">Per-tier measurement</w:t>
      </w:r>
    </w:p>
    <w:p>
      <w:pPr>
        <w:pStyle w:val="FirstParagraph"/>
      </w:pPr>
      <w:r>
        <w:t xml:space="preserve">Table </w:t>
      </w:r>
      <w:hyperlink w:anchor="tab:tier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 Fig. </w:t>
      </w:r>
      <w:hyperlink w:anchor="fig:tier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measure the Temporal Orchestration Layer. Latencies 0.9 / 2.1 / 3.4 s are</w:t>
      </w:r>
      <w:r>
        <w:t xml:space="preserve"> </w:t>
      </w:r>
      <w:r>
        <w:rPr>
          <w:iCs/>
          <w:i/>
        </w:rPr>
        <w:t xml:space="preserve">declared budgets</w:t>
      </w:r>
      <w:r>
        <w:t xml:space="preserve">, not wall-clock. On seed 0, T1 covers 32.5% of days (60.0% among emitted calls; 55.2% after majority fill). T3/T10 always fire at 49.7%. Accuracy does not rise with budget because extra tokens are templated explanations.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&lt;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for every tier;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is 60.3 / 82.1 / 93.6% on filler-padded templates.</w:t>
      </w:r>
    </w:p>
    <w:bookmarkStart w:id="50" w:name="tab:tiers"/>
    <w:p>
      <w:pPr>
        <w:pStyle w:val="TableCaption"/>
      </w:pPr>
      <w:r>
        <w:t xml:space="preserve">Temporal Orchestration Layer on seed 0. Latency is a declared budget, not measured GPU time. Acc. is among emitted calls; T1 overall accuracy with majority fill is 55.2%.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emporal Orchestration Layer on seed 0. Latency is a declared budget, not measured GPU time. Acc. is among emitted calls; T1 overall accuracy with majority fill is 55.2%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Cov.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Lat. (s)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Acc.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 flash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context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 briefing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93.6%</w:t>
            </w:r>
          </w:p>
        </w:tc>
      </w:tr>
    </w:tbl>
    <w:bookmarkEnd w:id="50"/>
    <w:p>
      <w:pPr>
        <w:pStyle w:val="CaptionedFigure"/>
      </w:pPr>
      <w:r>
        <w:drawing>
          <wp:inline>
            <wp:extent cx="4587240" cy="194756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tier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94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b>
        </m:sSub>
      </m:oMath>
      <w:r>
        <w:t xml:space="preserve">. Right: per-tier latency and coverage. Neither panel is mirrored; both axes read left-to-right.</w:t>
      </w:r>
    </w:p>
    <w:bookmarkEnd w:id="54"/>
    <w:bookmarkStart w:id="56" w:name="decision-quality"/>
    <w:p>
      <w:pPr>
        <w:pStyle w:val="Heading2"/>
      </w:pPr>
      <w:r>
        <w:t xml:space="preserve">Decision quality</w:t>
      </w:r>
    </w:p>
    <w:p>
      <w:pPr>
        <w:pStyle w:val="FirstParagraph"/>
      </w:pPr>
      <w:r>
        <w:t xml:space="preserve">Table </w:t>
      </w:r>
      <w:hyperlink w:anchor="tab:b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asks whether acting on the output would have helped. In the May 2025–August 2026 test window BIST100 buy-and-hold returned</w:t>
      </w:r>
      <w:r>
        <w:t xml:space="preserve"> </w:t>
      </w:r>
      <m:oMath>
        <m:r>
          <m:rPr>
            <m:sty m:val="p"/>
          </m:rPr>
          <m:t>+</m:t>
        </m:r>
        <m:r>
          <m:t>56.3</m:t>
        </m:r>
        <m:r>
          <m:rPr>
            <m:sty m:val="p"/>
          </m:rPr>
          <m:t>%</m:t>
        </m:r>
      </m:oMath>
      <w:r>
        <w:t xml:space="preserve"> </w:t>
      </w:r>
      <w:r>
        <w:t xml:space="preserve">(Sharpe 1.69). Every seed-0 overlay we tried underperformed that long-only benchmark after 5 bp costs. Vision-only (Sharpe 0.37) and the scalar gate (0.33) were positive but far below BH; GMU and tabular were negative. We report this as a negative result, not as an unused figure. A bull-market holdout is a hard test for a long/short overlay </w:t>
      </w:r>
      <w:r>
        <w:t xml:space="preserve">(Harvey, Liu, and Zhu 2016)</w:t>
      </w:r>
      <w:r>
        <w:t xml:space="preserve">, and it is precisely the test a decision-support paper must pass before claiming that users should act.</w:t>
      </w:r>
    </w:p>
    <w:bookmarkStart w:id="55" w:name="tab:bt"/>
    <w:p>
      <w:pPr>
        <w:pStyle w:val="TableCaption"/>
      </w:pPr>
      <w:r>
        <w:t xml:space="preserve">Paper-trading overlay on seed-0 calls, chronological test window, 5 bp costs. BH is long-only BIST100.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aper-trading overlay on seed-0 calls, chronological test window, 5 bp costs. BH is long-only BIST100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Hit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ret.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Buy-and-hold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56.3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Vision-only overlay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7.6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Scalar-gate overlay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6.3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 overlay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GMU overlay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0.74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21.8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27.4%</w:t>
            </w:r>
          </w:p>
        </w:tc>
      </w:tr>
    </w:tbl>
    <w:bookmarkEnd w:id="55"/>
    <w:bookmarkEnd w:id="56"/>
    <w:bookmarkEnd w:id="57"/>
    <w:bookmarkStart w:id="58" w:name="sec:user"/>
    <w:p>
      <w:pPr>
        <w:pStyle w:val="Heading1"/>
      </w:pPr>
      <w:r>
        <w:t xml:space="preserve">User-study protocol (not yet run)</w:t>
      </w:r>
    </w:p>
    <w:p>
      <w:pPr>
        <w:pStyle w:val="FirstParagraph"/>
      </w:pPr>
      <w:r>
        <w:t xml:space="preserve">A computational backtest still does not measure cognitive effort </w:t>
      </w:r>
      <w:r>
        <w:t xml:space="preserve">(Gajos et al. 2006; Findlater and Gajos 2009)</w:t>
      </w:r>
      <w:r>
        <w:t xml:space="preserve">. We specify, but do not fake, a 12-participant study. Raw session-sign hits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name-level week golds. Index mixers are scored only on the two XU100 scenarios (text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2</m:t>
        </m:r>
      </m:oMath>
      <w:r>
        <w:t xml:space="preserve">, gated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). NASA-TLX is blank.</w:t>
      </w:r>
    </w:p>
    <w:bookmarkEnd w:id="58"/>
    <w:bookmarkStart w:id="59" w:name="discussion-and-limitations"/>
    <w:p>
      <w:pPr>
        <w:pStyle w:val="Heading1"/>
      </w:pPr>
      <w:r>
        <w:t xml:space="preserve">Discussion and limitations</w:t>
      </w:r>
    </w:p>
    <w:p>
      <w:pPr>
        <w:pStyle w:val="FirstParagraph"/>
      </w:pPr>
      <w:r>
        <w:t xml:space="preserve">The scientific contribution that survives this revision is the</w:t>
      </w:r>
      <w:r>
        <w:t xml:space="preserve"> </w:t>
      </w:r>
      <w:r>
        <w:rPr>
          <w:iCs/>
          <w:i/>
        </w:rPr>
        <w:t xml:space="preserve">problem formulation and the evaluation</w:t>
      </w:r>
      <w:r>
        <w:t xml:space="preserve">: time as a budget, fusion as a swap-in block, leakage made visible, and actionability measured. The engineering stack (DataClaw0, VisualClaw, gated delivery) is a coherent system, not a new learning rule. Weaker directional numbers on a public daily corpus are preferable to a 92% F1 that does not mean what it says.</w:t>
      </w:r>
    </w:p>
    <w:p>
      <w:pPr>
        <w:pStyle w:val="BodyText"/>
      </w:pPr>
      <w:r>
        <w:t xml:space="preserve">Limitations: public BGE-M3 is list-text, not Infina HTML; frozen ViT-B/16 does not beat the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t xml:space="preserve">MLP; DePlot/MatCha are zero-shot on 308 days; twelve participants have not been recruited; the public chart is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 </w:t>
      </w:r>
      <w:r>
        <w:t xml:space="preserve">and tier latencies are simulated; Table </w:t>
      </w:r>
      <w:hyperlink w:anchor="tab:fw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mixers fuse unimodal scores, not learned</w:t>
      </w:r>
      <w: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</m:sub>
        </m:sSub>
      </m:oMath>
      <w:r>
        <w:t xml:space="preserve">.</w:t>
      </w:r>
    </w:p>
    <w:bookmarkEnd w:id="59"/>
    <w:bookmarkStart w:id="11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VESTA is a time-budgeted multimodal briefing system for BIST retail users. After correcting the evaluation, three statements hold. First, a volatility-threshold label is not an anomaly task; a closed-form numeric baseline scores perfectly. Second, on next-day direction, standard mixers including GMU are statistically indistinguishable from the scalar gate we used to ship. Third, the Temporal Orchestration Layer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change measurable quantities—coverage, latency, and length-normalized noise—even when it does not yet change alpha. Those are the claims we are willing to take to another venue.</w:t>
      </w:r>
    </w:p>
    <w:bookmarkStart w:id="112" w:name="disclosure-of-interests."/>
    <w:p>
      <w:pPr>
        <w:pStyle w:val="Heading3"/>
      </w:pPr>
      <w:r>
        <w:t xml:space="preserve">Disclosure of Interests.</w:t>
      </w:r>
    </w:p>
    <w:p>
      <w:pPr>
        <w:pStyle w:val="FirstParagraph"/>
      </w:pPr>
      <w:r>
        <w:t xml:space="preserve">The authors declare that they have no competing interests relevant to the content of this article. P.G. and H.B. are employed by Infina Software Development Inc., which operates a BIST retail platform; the public replication does not use proprietary KAP text.</w:t>
      </w:r>
    </w:p>
    <w:bookmarkStart w:id="111" w:name="refs"/>
    <w:bookmarkStart w:id="61" w:name="ref-akturk2026bist"/>
    <w:p>
      <w:pPr>
        <w:pStyle w:val="Bibliography"/>
      </w:pPr>
      <w:r>
        <w:t xml:space="preserve">Akturk, Zübeyir, Erdal Kılıç, Ömer Algorabi, Mesut Ulu, Yusuf Sait Türkan, and Ersin Namlı. 2026.</w:t>
      </w:r>
      <w:r>
        <w:t xml:space="preserve"> </w:t>
      </w:r>
      <w:r>
        <w:t xml:space="preserve">“Real-Time Forecast of</w:t>
      </w:r>
      <w:r>
        <w:t xml:space="preserve"> </w:t>
      </w:r>
      <w:r>
        <w:t xml:space="preserve">BIST100</w:t>
      </w:r>
      <w:r>
        <w:t xml:space="preserve"> </w:t>
      </w:r>
      <w:r>
        <w:t xml:space="preserve">Index Under Market Volatility and Uncertainty.”</w:t>
      </w:r>
      <w:r>
        <w:t xml:space="preserve"> </w:t>
      </w:r>
      <w:r>
        <w:rPr>
          <w:iCs/>
          <w:i/>
        </w:rPr>
        <w:t xml:space="preserve">Computational Economics</w:t>
      </w:r>
      <w:r>
        <w:t xml:space="preserve"> </w:t>
      </w:r>
      <w:r>
        <w:t xml:space="preserve">67 (4): 3249–74.</w:t>
      </w:r>
      <w:r>
        <w:t xml:space="preserve"> </w:t>
      </w:r>
      <w:hyperlink r:id="rId60">
        <w:r>
          <w:rPr>
            <w:rStyle w:val="Hyperlink"/>
          </w:rPr>
          <w:t xml:space="preserve">https://doi.org/10.1007/s10614-025-10986-1</w:t>
        </w:r>
      </w:hyperlink>
      <w:r>
        <w:t xml:space="preserve">.</w:t>
      </w:r>
    </w:p>
    <w:bookmarkEnd w:id="61"/>
    <w:bookmarkStart w:id="63" w:name="ref-arevalo2017gmu"/>
    <w:p>
      <w:pPr>
        <w:pStyle w:val="Bibliography"/>
      </w:pPr>
      <w:r>
        <w:t xml:space="preserve">Arevalo, John, Thamar Solorio, Manuel Montes-y-Gómez, and Fabio A. González. 2017.</w:t>
      </w:r>
      <w:r>
        <w:t xml:space="preserve"> </w:t>
      </w:r>
      <w:r>
        <w:t xml:space="preserve">“Gated Multimodal Units for Information Fusion.”</w:t>
      </w:r>
      <w:r>
        <w:t xml:space="preserve"> </w:t>
      </w:r>
      <w:r>
        <w:rPr>
          <w:iCs/>
          <w:i/>
        </w:rPr>
        <w:t xml:space="preserve">arXiv Preprint arXiv:1702.01992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https://doi.org/10.48550/arXiv.1702.01992</w:t>
        </w:r>
      </w:hyperlink>
      <w:r>
        <w:t xml:space="preserve">.</w:t>
      </w:r>
    </w:p>
    <w:bookmarkEnd w:id="63"/>
    <w:bookmarkStart w:id="65" w:name="ref-chen2024m3"/>
    <w:p>
      <w:pPr>
        <w:pStyle w:val="Bibliography"/>
      </w:pPr>
      <w:r>
        <w:t xml:space="preserve">Chen, Jianlyu, Shitao Xiao, Peitian Zhang, Kun Luo, Defu Lian, and Zheng Liu. 2024.</w:t>
      </w:r>
      <w:r>
        <w:t xml:space="preserve"> </w:t>
      </w:r>
      <w:r>
        <w:t xml:space="preserve">“</w:t>
      </w:r>
      <w:r>
        <w:t xml:space="preserve">M</w:t>
      </w:r>
      <w:r>
        <w:t xml:space="preserve">3-Embedding: Multi-Linguality, Multi-Functionality, Multi-Granularity Text Embeddings Through Self-Knowledge Distillation.”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Findings of the Association for Computational Linguistics:</w:t>
      </w:r>
      <w:r>
        <w:rPr>
          <w:iCs/>
          <w:i/>
        </w:rPr>
        <w:t xml:space="preserve"> </w:t>
      </w:r>
      <w:r>
        <w:rPr>
          <w:iCs/>
          <w:i/>
        </w:rPr>
        <w:t xml:space="preserve">ACL</w:t>
      </w:r>
      <w:r>
        <w:rPr>
          <w:iCs/>
          <w:i/>
        </w:rPr>
        <w:t xml:space="preserve"> </w:t>
      </w:r>
      <w:r>
        <w:rPr>
          <w:iCs/>
          <w:i/>
        </w:rPr>
        <w:t xml:space="preserve">2024</w:t>
      </w:r>
      <w:r>
        <w:t xml:space="preserve">, 2318–35.</w:t>
      </w:r>
      <w:r>
        <w:t xml:space="preserve"> </w:t>
      </w:r>
      <w:hyperlink r:id="rId64">
        <w:r>
          <w:rPr>
            <w:rStyle w:val="Hyperlink"/>
          </w:rPr>
          <w:t xml:space="preserve">https://doi.org/10.18653/v1/2024.findings-acl.137</w:t>
        </w:r>
      </w:hyperlink>
      <w:r>
        <w:t xml:space="preserve">.</w:t>
      </w:r>
    </w:p>
    <w:bookmarkEnd w:id="65"/>
    <w:bookmarkStart w:id="67" w:name="ref-cohen1960kappa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Cs/>
          <w:i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6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67"/>
    <w:bookmarkStart w:id="69" w:name="ref-dietterich1998approx"/>
    <w:p>
      <w:pPr>
        <w:pStyle w:val="Bibliography"/>
      </w:pPr>
      <w:r>
        <w:t xml:space="preserve">Dietterich, Thomas G. 1998.</w:t>
      </w:r>
      <w:r>
        <w:t xml:space="preserve"> </w:t>
      </w:r>
      <w:r>
        <w:t xml:space="preserve">“Approximate Statistical Tests for Comparing Supervised Classification Learning Algorithms.”</w:t>
      </w:r>
      <w:r>
        <w:t xml:space="preserve"> </w:t>
      </w:r>
      <w:r>
        <w:rPr>
          <w:iCs/>
          <w:i/>
        </w:rPr>
        <w:t xml:space="preserve">Neural Computation</w:t>
      </w:r>
      <w:r>
        <w:t xml:space="preserve"> </w:t>
      </w:r>
      <w:r>
        <w:t xml:space="preserve">10 (7): 1895–1923.</w:t>
      </w:r>
      <w:r>
        <w:t xml:space="preserve"> </w:t>
      </w:r>
      <w:hyperlink r:id="rId68">
        <w:r>
          <w:rPr>
            <w:rStyle w:val="Hyperlink"/>
          </w:rPr>
          <w:t xml:space="preserve">https://doi.org/10.1162/089976698300017197</w:t>
        </w:r>
      </w:hyperlink>
      <w:r>
        <w:t xml:space="preserve">.</w:t>
      </w:r>
    </w:p>
    <w:bookmarkEnd w:id="69"/>
    <w:bookmarkStart w:id="70" w:name="ref-dosovitskiy2021vit"/>
    <w:p>
      <w:pPr>
        <w:pStyle w:val="Bibliography"/>
      </w:pPr>
      <w:r>
        <w:t xml:space="preserve">Dosovitskiy, Alexey, Lucas Beyer, Alexander Kolesnikov, Dirk Weissenborn, Xiaohua Zhai, Thomas Unterthiner, Mostafa Dehghani, et al. 2021.</w:t>
      </w:r>
      <w:r>
        <w:t xml:space="preserve"> </w:t>
      </w:r>
      <w:r>
        <w:t xml:space="preserve">“An Image Is Worth 16x16 Words: Transformers for Image Recognition at Scale.”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Learning Representations</w:t>
      </w:r>
      <w:r>
        <w:t xml:space="preserve">.</w:t>
      </w:r>
    </w:p>
    <w:bookmarkEnd w:id="70"/>
    <w:bookmarkStart w:id="72" w:name="ref-eppler2004overload"/>
    <w:p>
      <w:pPr>
        <w:pStyle w:val="Bibliography"/>
      </w:pPr>
      <w:r>
        <w:t xml:space="preserve">Eppler, Martin J., and Jeanne Mengis. 2004.</w:t>
      </w:r>
      <w:r>
        <w:t xml:space="preserve"> </w:t>
      </w:r>
      <w:r>
        <w:t xml:space="preserve">“The Concept of Information Overload: A Review of Literature from Organization Science, Accounting, Marketing,</w:t>
      </w:r>
      <w:r>
        <w:t xml:space="preserve"> </w:t>
      </w:r>
      <w:r>
        <w:t xml:space="preserve">MIS</w:t>
      </w:r>
      <w:r>
        <w:t xml:space="preserve">, and Related Disciplines.”</w:t>
      </w:r>
      <w:r>
        <w:t xml:space="preserve"> </w:t>
      </w:r>
      <w:r>
        <w:rPr>
          <w:iCs/>
          <w:i/>
        </w:rPr>
        <w:t xml:space="preserve">The Information Society</w:t>
      </w:r>
      <w:r>
        <w:t xml:space="preserve"> </w:t>
      </w:r>
      <w:r>
        <w:t xml:space="preserve">20 (5): 325–44.</w:t>
      </w:r>
      <w:r>
        <w:t xml:space="preserve"> </w:t>
      </w:r>
      <w:hyperlink r:id="rId71">
        <w:r>
          <w:rPr>
            <w:rStyle w:val="Hyperlink"/>
          </w:rPr>
          <w:t xml:space="preserve">https://doi.org/10.1080/01972240490507974</w:t>
        </w:r>
      </w:hyperlink>
      <w:r>
        <w:t xml:space="preserve">.</w:t>
      </w:r>
    </w:p>
    <w:bookmarkEnd w:id="72"/>
    <w:bookmarkStart w:id="74" w:name="ref-findlater2009adaptive"/>
    <w:p>
      <w:pPr>
        <w:pStyle w:val="Bibliography"/>
      </w:pPr>
      <w:r>
        <w:t xml:space="preserve">Findlater, Leah, and Krzysztof Z. Gajos. 2009.</w:t>
      </w:r>
      <w:r>
        <w:t xml:space="preserve"> </w:t>
      </w:r>
      <w:r>
        <w:t xml:space="preserve">“Design Space and Evaluation Challenges of Adaptive Graphical User Interfaces.”</w:t>
      </w:r>
      <w:r>
        <w:t xml:space="preserve"> </w:t>
      </w:r>
      <w:r>
        <w:rPr>
          <w:iCs/>
          <w:i/>
        </w:rPr>
        <w:t xml:space="preserve">AI Magazine</w:t>
      </w:r>
      <w:r>
        <w:t xml:space="preserve"> </w:t>
      </w:r>
      <w:r>
        <w:t xml:space="preserve">30 (4): 68–73.</w:t>
      </w:r>
      <w:r>
        <w:t xml:space="preserve"> </w:t>
      </w:r>
      <w:hyperlink r:id="rId73">
        <w:r>
          <w:rPr>
            <w:rStyle w:val="Hyperlink"/>
          </w:rPr>
          <w:t xml:space="preserve">https://doi.org/10.1609/aimag.v30i4.2268</w:t>
        </w:r>
      </w:hyperlink>
      <w:r>
        <w:t xml:space="preserve">.</w:t>
      </w:r>
    </w:p>
    <w:bookmarkEnd w:id="74"/>
    <w:bookmarkStart w:id="76" w:name="ref-gajos2006exploring"/>
    <w:p>
      <w:pPr>
        <w:pStyle w:val="Bibliography"/>
      </w:pPr>
      <w:r>
        <w:t xml:space="preserve">Gajos, Krzysztof Z., Mary Czerwinski, Desney S. Tan, and Daniel S. Weld. 2006.</w:t>
      </w:r>
      <w:r>
        <w:t xml:space="preserve"> </w:t>
      </w:r>
      <w:r>
        <w:t xml:space="preserve">“Exploring the Design Space for Adaptive Graphical User Interfaces.”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Working Conference on Advanced Visual Interfaces (AVI ’06)</w:t>
      </w:r>
      <w:r>
        <w:t xml:space="preserve">, 201–8.</w:t>
      </w:r>
      <w:r>
        <w:t xml:space="preserve"> </w:t>
      </w:r>
      <w:hyperlink r:id="rId75">
        <w:r>
          <w:rPr>
            <w:rStyle w:val="Hyperlink"/>
          </w:rPr>
          <w:t xml:space="preserve">https://doi.org/10.1145/1133265.1133306</w:t>
        </w:r>
      </w:hyperlink>
      <w:r>
        <w:t xml:space="preserve">.</w:t>
      </w:r>
    </w:p>
    <w:bookmarkEnd w:id="76"/>
    <w:bookmarkStart w:id="78" w:name="ref-harvey2016and"/>
    <w:p>
      <w:pPr>
        <w:pStyle w:val="Bibliography"/>
      </w:pPr>
      <w:r>
        <w:t xml:space="preserve">Harvey, Campbell R., Yan Liu, and Heqing Zhu. 2016.</w:t>
      </w:r>
      <w:r>
        <w:t xml:space="preserve"> </w:t>
      </w:r>
      <w:r>
        <w:t xml:space="preserve">“</w:t>
      </w:r>
      <w:r>
        <w:t xml:space="preserve">…</w:t>
      </w:r>
      <w:r>
        <w:t xml:space="preserve"> </w:t>
      </w:r>
      <w:r>
        <w:t xml:space="preserve">and the Cross-Section of Expected Returns.”</w:t>
      </w:r>
      <w:r>
        <w:t xml:space="preserve"> </w:t>
      </w:r>
      <w:r>
        <w:rPr>
          <w:iCs/>
          <w:i/>
        </w:rPr>
        <w:t xml:space="preserve">The Review of Financial Studies</w:t>
      </w:r>
      <w:r>
        <w:t xml:space="preserve"> </w:t>
      </w:r>
      <w:r>
        <w:t xml:space="preserve">29 (1): 5–68.</w:t>
      </w:r>
      <w:r>
        <w:t xml:space="preserve"> </w:t>
      </w:r>
      <w:hyperlink r:id="rId77">
        <w:r>
          <w:rPr>
            <w:rStyle w:val="Hyperlink"/>
          </w:rPr>
          <w:t xml:space="preserve">https://doi.org/10.1093/rfs/hhv059</w:t>
        </w:r>
      </w:hyperlink>
      <w:r>
        <w:t xml:space="preserve">.</w:t>
      </w:r>
    </w:p>
    <w:bookmarkEnd w:id="78"/>
    <w:bookmarkStart w:id="80" w:name="ref-jiang2023reimagining"/>
    <w:p>
      <w:pPr>
        <w:pStyle w:val="Bibliography"/>
      </w:pPr>
      <w:r>
        <w:t xml:space="preserve">Jiang, Jingwen, Bryan Kelly, and Dacheng Xiu. 2023.</w:t>
      </w:r>
      <w:r>
        <w:t xml:space="preserve"> </w:t>
      </w:r>
      <w:r>
        <w:t xml:space="preserve">“(</w:t>
      </w:r>
      <w:r>
        <w:t xml:space="preserve">Re</w:t>
      </w:r>
      <w:r>
        <w:t xml:space="preserve">-)</w:t>
      </w:r>
      <w:r>
        <w:t xml:space="preserve">Imag</w:t>
      </w:r>
      <w:r>
        <w:t xml:space="preserve">(in)ing Price Trends.”</w:t>
      </w:r>
      <w:r>
        <w:t xml:space="preserve"> </w:t>
      </w:r>
      <w:r>
        <w:rPr>
          <w:iCs/>
          <w:i/>
        </w:rPr>
        <w:t xml:space="preserve">The Journal of Finance</w:t>
      </w:r>
      <w:r>
        <w:t xml:space="preserve"> </w:t>
      </w:r>
      <w:r>
        <w:t xml:space="preserve">78 (6): 3193–3249.</w:t>
      </w:r>
      <w:r>
        <w:t xml:space="preserve"> </w:t>
      </w:r>
      <w:hyperlink r:id="rId79">
        <w:r>
          <w:rPr>
            <w:rStyle w:val="Hyperlink"/>
          </w:rPr>
          <w:t xml:space="preserve">https://doi.org/10.1111/jofi.13268</w:t>
        </w:r>
      </w:hyperlink>
      <w:r>
        <w:t xml:space="preserve">.</w:t>
      </w:r>
    </w:p>
    <w:bookmarkEnd w:id="80"/>
    <w:bookmarkStart w:id="82" w:name="ref-jiang2022cmga"/>
    <w:p>
      <w:pPr>
        <w:pStyle w:val="Bibliography"/>
      </w:pPr>
      <w:r>
        <w:t xml:space="preserve">Jiang, Ming, and Shaoxiong Ji. 2022.</w:t>
      </w:r>
      <w:r>
        <w:t xml:space="preserve"> </w:t>
      </w:r>
      <w:r>
        <w:t xml:space="preserve">“Cross-Modality Gated Attention Fusion for Multimodal Sentiment Analysis.”</w:t>
      </w:r>
      <w:r>
        <w:t xml:space="preserve"> </w:t>
      </w:r>
      <w:r>
        <w:rPr>
          <w:iCs/>
          <w:i/>
        </w:rPr>
        <w:t xml:space="preserve">arXiv Preprint arXiv:2208.11893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https://doi.org/10.48550/arXiv.2208.11893</w:t>
        </w:r>
      </w:hyperlink>
      <w:r>
        <w:t xml:space="preserve">.</w:t>
      </w:r>
    </w:p>
    <w:bookmarkEnd w:id="82"/>
    <w:bookmarkStart w:id="83" w:name="ref-kang2023deficiency"/>
    <w:p>
      <w:pPr>
        <w:pStyle w:val="Bibliography"/>
      </w:pPr>
      <w:r>
        <w:t xml:space="preserve">Kang, Haoqiang, and Xiao-Yang Liu. 2023.</w:t>
      </w:r>
      <w:r>
        <w:t xml:space="preserve"> </w:t>
      </w:r>
      <w:r>
        <w:t xml:space="preserve">“Deficiency of Large Language Models in Finance: An Empirical Examination of Hallucination.”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 Can’t Believe It’s Not Better Workshop: Failure Modes in the Age of Foundation Models</w:t>
      </w:r>
      <w:r>
        <w:t xml:space="preserve">.</w:t>
      </w:r>
    </w:p>
    <w:bookmarkEnd w:id="83"/>
    <w:bookmarkStart w:id="84" w:name="ref-lee2023pix2struct"/>
    <w:p>
      <w:pPr>
        <w:pStyle w:val="Bibliography"/>
      </w:pPr>
      <w:r>
        <w:t xml:space="preserve">Lee, Kenton, Mandar Joshi, Iulia Raluca Turc, Hexiang Hu, Fangyu Liu, Julian Martin Eisenschlos, Urvashi Khandelwal, Peter Shaw, Ming-Wei Chang, and Kristina Toutanova. 2023.</w:t>
      </w:r>
      <w:r>
        <w:t xml:space="preserve"> </w:t>
      </w:r>
      <w:r>
        <w:t xml:space="preserve">“</w:t>
      </w:r>
      <w:r>
        <w:t xml:space="preserve">Pix2Struct</w:t>
      </w:r>
      <w:r>
        <w:t xml:space="preserve">: Screenshot Parsing as Pretraining for Visual Language Understanding.”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40th International Conference on Machine Learning</w:t>
      </w:r>
      <w:r>
        <w:t xml:space="preserve">, 202:18893–912. Proceedings of Machine Learning Research.</w:t>
      </w:r>
    </w:p>
    <w:bookmarkEnd w:id="84"/>
    <w:bookmarkStart w:id="85" w:name="ref-lewis2020rag"/>
    <w:p>
      <w:pPr>
        <w:pStyle w:val="Bibliography"/>
      </w:pPr>
      <w:r>
        <w:t xml:space="preserve">Lewis, Patrick, Ethan Perez, Aleksandra Piktus, Fabio Petroni, Vladimir Karpukhin, Naman Goyal, Heinrich Küttler, et al. 2020.</w:t>
      </w:r>
      <w:r>
        <w:t xml:space="preserve"> </w:t>
      </w:r>
      <w:r>
        <w:t xml:space="preserve">“Retrieval-Augmented Generation for Knowledge-Intensive</w:t>
      </w:r>
      <w:r>
        <w:t xml:space="preserve"> </w:t>
      </w:r>
      <w:r>
        <w:t xml:space="preserve">NLP</w:t>
      </w:r>
      <w:r>
        <w:t xml:space="preserve"> </w:t>
      </w:r>
      <w:r>
        <w:t xml:space="preserve">Tasks.”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33:9459–74.</w:t>
      </w:r>
    </w:p>
    <w:bookmarkEnd w:id="85"/>
    <w:bookmarkStart w:id="87" w:name="ref-liu2023matcha"/>
    <w:p>
      <w:pPr>
        <w:pStyle w:val="Bibliography"/>
      </w:pPr>
      <w:r>
        <w:t xml:space="preserve">Liu, Fangyu, Francesco Piccinno, Syrine Krichene, Chenxi Pang, Kenton Lee, Mandar Joshi, Yasemin Altun, Nigel Collier, and Julian Eisenschlos. 2023.</w:t>
      </w:r>
      <w:r>
        <w:t xml:space="preserve"> </w:t>
      </w:r>
      <w:r>
        <w:t xml:space="preserve">“</w:t>
      </w:r>
      <w:r>
        <w:t xml:space="preserve">MatCha</w:t>
      </w:r>
      <w:r>
        <w:t xml:space="preserve">: Enhancing Visual Language Pretraining with Math Reasoning and Chart Derendering.”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61st Annual Meeting of the Association for Computational Linguistics (Volume 1: Long Papers)</w:t>
      </w:r>
      <w:r>
        <w:t xml:space="preserve">, 12756–70.</w:t>
      </w:r>
      <w:r>
        <w:t xml:space="preserve"> </w:t>
      </w:r>
      <w:hyperlink r:id="rId86">
        <w:r>
          <w:rPr>
            <w:rStyle w:val="Hyperlink"/>
          </w:rPr>
          <w:t xml:space="preserve">https://doi.org/10.18653/v1/2023.acl-long.714</w:t>
        </w:r>
      </w:hyperlink>
      <w:r>
        <w:t xml:space="preserve">.</w:t>
      </w:r>
    </w:p>
    <w:bookmarkEnd w:id="87"/>
    <w:bookmarkStart w:id="89" w:name="ref-miller1956magical"/>
    <w:p>
      <w:pPr>
        <w:pStyle w:val="Bibliography"/>
      </w:pPr>
      <w:r>
        <w:t xml:space="preserve">Miller, George A. 1956.</w:t>
      </w:r>
      <w:r>
        <w:t xml:space="preserve"> </w:t>
      </w:r>
      <w:r>
        <w:t xml:space="preserve">“The Magical Number Seven, Plus or Minus Two: Some Limits on Our Capacity for Processing Information.”</w:t>
      </w:r>
      <w:r>
        <w:t xml:space="preserve"> </w:t>
      </w:r>
      <w:r>
        <w:rPr>
          <w:iCs/>
          <w:i/>
        </w:rPr>
        <w:t xml:space="preserve">Psychological Review</w:t>
      </w:r>
      <w:r>
        <w:t xml:space="preserve"> </w:t>
      </w:r>
      <w:r>
        <w:t xml:space="preserve">63 (2): 81–97.</w:t>
      </w:r>
      <w:r>
        <w:t xml:space="preserve"> </w:t>
      </w:r>
      <w:hyperlink r:id="rId88">
        <w:r>
          <w:rPr>
            <w:rStyle w:val="Hyperlink"/>
          </w:rPr>
          <w:t xml:space="preserve">https://doi.org/10.1037/h0043158</w:t>
        </w:r>
      </w:hyperlink>
      <w:r>
        <w:t xml:space="preserve">.</w:t>
      </w:r>
    </w:p>
    <w:bookmarkEnd w:id="89"/>
    <w:bookmarkStart w:id="91" w:name="ref-kap2026"/>
    <w:p>
      <w:pPr>
        <w:pStyle w:val="Bibliography"/>
      </w:pPr>
      <w:r>
        <w:t xml:space="preserve">Public Disclosure Platform (KAP). 2026.</w:t>
      </w:r>
      <w:r>
        <w:t xml:space="preserve"> </w:t>
      </w:r>
      <w:r>
        <w:t xml:space="preserve">“</w:t>
      </w:r>
      <w:r>
        <w:t xml:space="preserve">KAP</w:t>
      </w:r>
      <w:r>
        <w:t xml:space="preserve"> </w:t>
      </w:r>
      <w:r>
        <w:t xml:space="preserve">Public Disclosure Platform.”</w:t>
      </w:r>
      <w:r>
        <w:t xml:space="preserve"> </w:t>
      </w:r>
      <w:hyperlink r:id="rId90">
        <w:r>
          <w:rPr>
            <w:rStyle w:val="Hyperlink"/>
          </w:rPr>
          <w:t xml:space="preserve">https://www.kap.org.tr</w:t>
        </w:r>
      </w:hyperlink>
      <w:r>
        <w:t xml:space="preserve">.</w:t>
      </w:r>
    </w:p>
    <w:bookmarkEnd w:id="91"/>
    <w:bookmarkStart w:id="93" w:name="ref-reimers2019sentence"/>
    <w:p>
      <w:pPr>
        <w:pStyle w:val="Bibliography"/>
      </w:pPr>
      <w:r>
        <w:t xml:space="preserve">Reimers, Nils, and Iryna Gurevych. 2019.</w:t>
      </w:r>
      <w:r>
        <w:t xml:space="preserve"> </w:t>
      </w:r>
      <w:r>
        <w:t xml:space="preserve">“Sentence-</w:t>
      </w:r>
      <w:r>
        <w:t xml:space="preserve">BERT</w:t>
      </w:r>
      <w:r>
        <w:t xml:space="preserve">: Sentence Embeddings Using Siamese</w:t>
      </w:r>
      <w:r>
        <w:t xml:space="preserve"> </w:t>
      </w:r>
      <w:r>
        <w:t xml:space="preserve">BERT</w:t>
      </w:r>
      <w:r>
        <w:t xml:space="preserve">-Networks.”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2019 Conference on Empirical Methods in Natural Language Processing and the 9th International Joint Conference on Natural Language Processing (</w:t>
      </w:r>
      <w:r>
        <w:rPr>
          <w:iCs/>
          <w:i/>
        </w:rPr>
        <w:t xml:space="preserve">EMNLP-IJCNLP</w:t>
      </w:r>
      <w:r>
        <w:rPr>
          <w:iCs/>
          <w:i/>
        </w:rPr>
        <w:t xml:space="preserve">)</w:t>
      </w:r>
      <w:r>
        <w:t xml:space="preserve">, 3982–92.</w:t>
      </w:r>
      <w:r>
        <w:t xml:space="preserve"> </w:t>
      </w:r>
      <w:hyperlink r:id="rId92">
        <w:r>
          <w:rPr>
            <w:rStyle w:val="Hyperlink"/>
          </w:rPr>
          <w:t xml:space="preserve">https://doi.org/10.18653/v1/D19-1410</w:t>
        </w:r>
      </w:hyperlink>
      <w:r>
        <w:t xml:space="preserve">.</w:t>
      </w:r>
    </w:p>
    <w:bookmarkEnd w:id="93"/>
    <w:bookmarkStart w:id="95" w:name="ref-sohangir2018big"/>
    <w:p>
      <w:pPr>
        <w:pStyle w:val="Bibliography"/>
      </w:pPr>
      <w:r>
        <w:t xml:space="preserve">Sohangir, Sahar, Dingding Wang, Anna Pomeranets, and Taghi M. Khoshgoftaar. 2018.</w:t>
      </w:r>
      <w:r>
        <w:t xml:space="preserve"> </w:t>
      </w:r>
      <w:r>
        <w:t xml:space="preserve">“Big Data: Deep Learning for Financial Sentiment Analysis.”</w:t>
      </w:r>
      <w:r>
        <w:t xml:space="preserve"> </w:t>
      </w:r>
      <w:r>
        <w:rPr>
          <w:iCs/>
          <w:i/>
        </w:rPr>
        <w:t xml:space="preserve">Journal of Big Data</w:t>
      </w:r>
      <w:r>
        <w:t xml:space="preserve"> </w:t>
      </w:r>
      <w:r>
        <w:t xml:space="preserve">5 (1): 3.</w:t>
      </w:r>
      <w:r>
        <w:t xml:space="preserve"> </w:t>
      </w:r>
      <w:hyperlink r:id="rId94">
        <w:r>
          <w:rPr>
            <w:rStyle w:val="Hyperlink"/>
          </w:rPr>
          <w:t xml:space="preserve">https://doi.org/10.1186/s40537-017-0111-6</w:t>
        </w:r>
      </w:hyperlink>
      <w:r>
        <w:t xml:space="preserve">.</w:t>
      </w:r>
    </w:p>
    <w:bookmarkEnd w:id="95"/>
    <w:bookmarkStart w:id="97" w:name="ref-sun2019compare"/>
    <w:p>
      <w:pPr>
        <w:pStyle w:val="Bibliography"/>
      </w:pPr>
      <w:r>
        <w:t xml:space="preserve">Sun, Simeng, Ori Shapira, Ido Dagan, and Ani Nenkova. 2019.</w:t>
      </w:r>
      <w:r>
        <w:t xml:space="preserve"> </w:t>
      </w:r>
      <w:r>
        <w:t xml:space="preserve">“How to Compare Summarizers Without Target Length? Pitfalls, Solutions and Re-Examination of the Neural Summarization Literature.”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Workshop on Methods for Optimizing and Evaluating Neural Language Generation</w:t>
      </w:r>
      <w:r>
        <w:t xml:space="preserve">, 21–29.</w:t>
      </w:r>
      <w:r>
        <w:t xml:space="preserve"> </w:t>
      </w:r>
      <w:hyperlink r:id="rId96">
        <w:r>
          <w:rPr>
            <w:rStyle w:val="Hyperlink"/>
          </w:rPr>
          <w:t xml:space="preserve">https://doi.org/10.18653/v1/W19-2303</w:t>
        </w:r>
      </w:hyperlink>
      <w:r>
        <w:t xml:space="preserve">.</w:t>
      </w:r>
    </w:p>
    <w:bookmarkEnd w:id="97"/>
    <w:bookmarkStart w:id="99" w:name="ref-sweller1988cognitive"/>
    <w:p>
      <w:pPr>
        <w:pStyle w:val="Bibliography"/>
      </w:pPr>
      <w:r>
        <w:t xml:space="preserve">Sweller, John. 1988.</w:t>
      </w:r>
      <w:r>
        <w:t xml:space="preserve"> </w:t>
      </w:r>
      <w:r>
        <w:t xml:space="preserve">“Cognitive Load During Problem Solving: Effects on Learning.”</w:t>
      </w:r>
      <w:r>
        <w:t xml:space="preserve"> </w:t>
      </w:r>
      <w:r>
        <w:rPr>
          <w:iCs/>
          <w:i/>
        </w:rPr>
        <w:t xml:space="preserve">Cognitive Science</w:t>
      </w:r>
      <w:r>
        <w:t xml:space="preserve"> </w:t>
      </w:r>
      <w:r>
        <w:t xml:space="preserve">12 (2): 257–85.</w:t>
      </w:r>
      <w:r>
        <w:t xml:space="preserve"> </w:t>
      </w:r>
      <w:hyperlink r:id="rId98">
        <w:r>
          <w:rPr>
            <w:rStyle w:val="Hyperlink"/>
          </w:rPr>
          <w:t xml:space="preserve">https://doi.org/10.1207/s15516709cog1202_4</w:t>
        </w:r>
      </w:hyperlink>
      <w:r>
        <w:t xml:space="preserve">.</w:t>
      </w:r>
    </w:p>
    <w:bookmarkEnd w:id="99"/>
    <w:bookmarkStart w:id="101" w:name="ref-sweller2023clt"/>
    <w:p>
      <w:pPr>
        <w:pStyle w:val="Bibliography"/>
      </w:pPr>
      <w:r>
        <w:t xml:space="preserve">———. 2023.</w:t>
      </w:r>
      <w:r>
        <w:t xml:space="preserve"> </w:t>
      </w:r>
      <w:r>
        <w:t xml:space="preserve">“The Development of Cognitive Load Theory: Replication Crises and Incorporation of Other Theories Can Lead to Theory Expansion.”</w:t>
      </w:r>
      <w:r>
        <w:t xml:space="preserve"> </w:t>
      </w:r>
      <w:r>
        <w:rPr>
          <w:iCs/>
          <w:i/>
        </w:rPr>
        <w:t xml:space="preserve">Educational Psychology Review</w:t>
      </w:r>
      <w:r>
        <w:t xml:space="preserve"> </w:t>
      </w:r>
      <w:r>
        <w:t xml:space="preserve">35 (4): 95.</w:t>
      </w:r>
      <w:r>
        <w:t xml:space="preserve"> </w:t>
      </w:r>
      <w:hyperlink r:id="rId100">
        <w:r>
          <w:rPr>
            <w:rStyle w:val="Hyperlink"/>
          </w:rPr>
          <w:t xml:space="preserve">https://doi.org/10.1007/s10648-023-09817-2</w:t>
        </w:r>
      </w:hyperlink>
      <w:r>
        <w:t xml:space="preserve">.</w:t>
      </w:r>
    </w:p>
    <w:bookmarkEnd w:id="101"/>
    <w:bookmarkStart w:id="103" w:name="ref-tsai2019mult"/>
    <w:p>
      <w:pPr>
        <w:pStyle w:val="Bibliography"/>
      </w:pPr>
      <w:r>
        <w:t xml:space="preserve">Tsai, Yao-Hung Hubert, Shaojie Bai, Paul Pu Liang, J. Zico Kolter, Louis-Philippe Morency, and Ruslan Salakhutdinov. 2019.</w:t>
      </w:r>
      <w:r>
        <w:t xml:space="preserve"> </w:t>
      </w:r>
      <w:r>
        <w:t xml:space="preserve">“Multimodal Transformer for Unaligned Multimodal Language Sequences.”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57th Annual Meeting of the Association for Computational Linguistics</w:t>
      </w:r>
      <w:r>
        <w:t xml:space="preserve">, 6558–69.</w:t>
      </w:r>
      <w:r>
        <w:t xml:space="preserve"> </w:t>
      </w:r>
      <w:hyperlink r:id="rId102">
        <w:r>
          <w:rPr>
            <w:rStyle w:val="Hyperlink"/>
          </w:rPr>
          <w:t xml:space="preserve">https://doi.org/10.18653/v1/P19-1656</w:t>
        </w:r>
      </w:hyperlink>
      <w:r>
        <w:t xml:space="preserve">.</w:t>
      </w:r>
    </w:p>
    <w:bookmarkEnd w:id="103"/>
    <w:bookmarkStart w:id="105" w:name="ref-yang2023fingpt"/>
    <w:p>
      <w:pPr>
        <w:pStyle w:val="Bibliography"/>
      </w:pPr>
      <w:r>
        <w:t xml:space="preserve">Yang, Hongyang, Xiao-Yang Liu, and Christina Dan Wang. 2023.</w:t>
      </w:r>
      <w:r>
        <w:t xml:space="preserve"> </w:t>
      </w:r>
      <w:r>
        <w:t xml:space="preserve">“</w:t>
      </w:r>
      <w:r>
        <w:t xml:space="preserve">FinGPT</w:t>
      </w:r>
      <w:r>
        <w:t xml:space="preserve">: Open-Source Financial Large Language Models.”</w:t>
      </w:r>
      <w:r>
        <w:t xml:space="preserve"> </w:t>
      </w:r>
      <w:r>
        <w:rPr>
          <w:iCs/>
          <w:i/>
        </w:rPr>
        <w:t xml:space="preserve">arXiv Preprint arXiv:2306.06031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https://doi.org/10.48550/arXiv.2306.06031</w:t>
        </w:r>
      </w:hyperlink>
      <w:r>
        <w:t xml:space="preserve">.</w:t>
      </w:r>
    </w:p>
    <w:bookmarkEnd w:id="105"/>
    <w:bookmarkStart w:id="106" w:name="ref-yao2023react"/>
    <w:p>
      <w:pPr>
        <w:pStyle w:val="Bibliography"/>
      </w:pPr>
      <w:r>
        <w:t xml:space="preserve">Yao, Shunyu, Jeffrey Zhao, Dian Yu, Nan Du, Izhak Shafran, Karthik Narasimhan, and Yuan Cao. 2023.</w:t>
      </w:r>
      <w:r>
        <w:t xml:space="preserve"> </w:t>
      </w:r>
      <w:r>
        <w:t xml:space="preserve">“</w:t>
      </w:r>
      <w:r>
        <w:t xml:space="preserve">ReAct</w:t>
      </w:r>
      <w:r>
        <w:t xml:space="preserve">: Synergizing Reasoning and Acting in Language Models.”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Learning Representations</w:t>
      </w:r>
      <w:r>
        <w:t xml:space="preserve">.</w:t>
      </w:r>
    </w:p>
    <w:bookmarkEnd w:id="106"/>
    <w:bookmarkStart w:id="108" w:name="ref-yu2024finmem"/>
    <w:p>
      <w:pPr>
        <w:pStyle w:val="Bibliography"/>
      </w:pPr>
      <w:r>
        <w:t xml:space="preserve">Yu, Yangyang, Haohang Li, Zhi Chen, Yuechen Jiang, Yang Li, Denghui Zhang, Rong Liu, Jordan W. Suchow, and Khaldoun Khashanah. 2024.</w:t>
      </w:r>
      <w:r>
        <w:t xml:space="preserve"> </w:t>
      </w:r>
      <w:r>
        <w:t xml:space="preserve">“</w:t>
      </w:r>
      <w:r>
        <w:t xml:space="preserve">FinMem</w:t>
      </w:r>
      <w:r>
        <w:t xml:space="preserve">: A Performance-Enhanced</w:t>
      </w:r>
      <w:r>
        <w:t xml:space="preserve"> </w:t>
      </w:r>
      <w:r>
        <w:t xml:space="preserve">LLM</w:t>
      </w:r>
      <w:r>
        <w:t xml:space="preserve"> </w:t>
      </w:r>
      <w:r>
        <w:t xml:space="preserve">Trading Agent with Layered Memory and Character Design.”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AAAI</w:t>
      </w:r>
      <w:r>
        <w:rPr>
          <w:iCs/>
          <w:i/>
        </w:rPr>
        <w:t xml:space="preserve"> </w:t>
      </w:r>
      <w:r>
        <w:rPr>
          <w:iCs/>
          <w:i/>
        </w:rPr>
        <w:t xml:space="preserve">Symposium Series</w:t>
      </w:r>
      <w:r>
        <w:t xml:space="preserve"> </w:t>
      </w:r>
      <w:r>
        <w:t xml:space="preserve">3 (1): 595–97.</w:t>
      </w:r>
      <w:r>
        <w:t xml:space="preserve"> </w:t>
      </w:r>
      <w:hyperlink r:id="rId107">
        <w:r>
          <w:rPr>
            <w:rStyle w:val="Hyperlink"/>
          </w:rPr>
          <w:t xml:space="preserve">https://doi.org/10.1609/aaaiss.v3i1.31290</w:t>
        </w:r>
      </w:hyperlink>
      <w:r>
        <w:t xml:space="preserve">.</w:t>
      </w:r>
    </w:p>
    <w:bookmarkEnd w:id="108"/>
    <w:bookmarkStart w:id="110" w:name="ref-zadeh2017tfn"/>
    <w:p>
      <w:pPr>
        <w:pStyle w:val="Bibliography"/>
      </w:pPr>
      <w:r>
        <w:t xml:space="preserve">Zadeh, Amir, Minghai Chen, Soujanya Poria, Erik Cambria, and Louis-Philippe Morency. 2017.</w:t>
      </w:r>
      <w:r>
        <w:t xml:space="preserve"> </w:t>
      </w:r>
      <w:r>
        <w:t xml:space="preserve">“Tensor Fusion Network for Multimodal Sentiment Analysis.”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2017 Conference on Empirical Methods in Natural Language Processing</w:t>
      </w:r>
      <w:r>
        <w:t xml:space="preserve">, 1103–14.</w:t>
      </w:r>
      <w:r>
        <w:t xml:space="preserve"> </w:t>
      </w:r>
      <w:hyperlink r:id="rId109">
        <w:r>
          <w:rPr>
            <w:rStyle w:val="Hyperlink"/>
          </w:rPr>
          <w:t xml:space="preserve">https://doi.org/10.18653/v1/D17-1115</w:t>
        </w:r>
      </w:hyperlink>
      <w:r>
        <w:t xml:space="preserve">.</w:t>
      </w:r>
    </w:p>
    <w:bookmarkEnd w:id="110"/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hyperlink" Id="rId60" Target="https://doi.org/10.1007/s10614-025-10986-1" TargetMode="External" /><Relationship Type="http://schemas.openxmlformats.org/officeDocument/2006/relationships/hyperlink" Id="rId100" Target="https://doi.org/10.1007/s10648-023-09817-2" TargetMode="External" /><Relationship Type="http://schemas.openxmlformats.org/officeDocument/2006/relationships/hyperlink" Id="rId88" Target="https://doi.org/10.1037/h0043158" TargetMode="External" /><Relationship Type="http://schemas.openxmlformats.org/officeDocument/2006/relationships/hyperlink" Id="rId71" Target="https://doi.org/10.1080/01972240490507974" TargetMode="External" /><Relationship Type="http://schemas.openxmlformats.org/officeDocument/2006/relationships/hyperlink" Id="rId77" Target="https://doi.org/10.1093/rfs/hhv059" TargetMode="External" /><Relationship Type="http://schemas.openxmlformats.org/officeDocument/2006/relationships/hyperlink" Id="rId79" Target="https://doi.org/10.1111/jofi.13268" TargetMode="External" /><Relationship Type="http://schemas.openxmlformats.org/officeDocument/2006/relationships/hyperlink" Id="rId75" Target="https://doi.org/10.1145/1133265.1133306" TargetMode="External" /><Relationship Type="http://schemas.openxmlformats.org/officeDocument/2006/relationships/hyperlink" Id="rId68" Target="https://doi.org/10.1162/089976698300017197" TargetMode="External" /><Relationship Type="http://schemas.openxmlformats.org/officeDocument/2006/relationships/hyperlink" Id="rId66" Target="https://doi.org/10.1177/001316446002000104" TargetMode="External" /><Relationship Type="http://schemas.openxmlformats.org/officeDocument/2006/relationships/hyperlink" Id="rId94" Target="https://doi.org/10.1186/s40537-017-0111-6" TargetMode="External" /><Relationship Type="http://schemas.openxmlformats.org/officeDocument/2006/relationships/hyperlink" Id="rId98" Target="https://doi.org/10.1207/s15516709cog1202_4" TargetMode="External" /><Relationship Type="http://schemas.openxmlformats.org/officeDocument/2006/relationships/hyperlink" Id="rId107" Target="https://doi.org/10.1609/aaaiss.v3i1.31290" TargetMode="External" /><Relationship Type="http://schemas.openxmlformats.org/officeDocument/2006/relationships/hyperlink" Id="rId73" Target="https://doi.org/10.1609/aimag.v30i4.2268" TargetMode="External" /><Relationship Type="http://schemas.openxmlformats.org/officeDocument/2006/relationships/hyperlink" Id="rId86" Target="https://doi.org/10.18653/v1/2023.acl-long.714" TargetMode="External" /><Relationship Type="http://schemas.openxmlformats.org/officeDocument/2006/relationships/hyperlink" Id="rId64" Target="https://doi.org/10.18653/v1/2024.findings-acl.137" TargetMode="External" /><Relationship Type="http://schemas.openxmlformats.org/officeDocument/2006/relationships/hyperlink" Id="rId109" Target="https://doi.org/10.18653/v1/D17-1115" TargetMode="External" /><Relationship Type="http://schemas.openxmlformats.org/officeDocument/2006/relationships/hyperlink" Id="rId92" Target="https://doi.org/10.18653/v1/D19-1410" TargetMode="External" /><Relationship Type="http://schemas.openxmlformats.org/officeDocument/2006/relationships/hyperlink" Id="rId102" Target="https://doi.org/10.18653/v1/P19-1656" TargetMode="External" /><Relationship Type="http://schemas.openxmlformats.org/officeDocument/2006/relationships/hyperlink" Id="rId96" Target="https://doi.org/10.18653/v1/W19-2303" TargetMode="External" /><Relationship Type="http://schemas.openxmlformats.org/officeDocument/2006/relationships/hyperlink" Id="rId62" Target="https://doi.org/10.48550/arXiv.1702.01992" TargetMode="External" /><Relationship Type="http://schemas.openxmlformats.org/officeDocument/2006/relationships/hyperlink" Id="rId81" Target="https://doi.org/10.48550/arXiv.2208.11893" TargetMode="External" /><Relationship Type="http://schemas.openxmlformats.org/officeDocument/2006/relationships/hyperlink" Id="rId104" Target="https://doi.org/10.48550/arXiv.2306.06031" TargetMode="External" /><Relationship Type="http://schemas.openxmlformats.org/officeDocument/2006/relationships/hyperlink" Id="rId20" Target="https://github.com/ozge-devops/congress" TargetMode="External" /><Relationship Type="http://schemas.openxmlformats.org/officeDocument/2006/relationships/hyperlink" Id="rId90" Target="https://www.kap.org.t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doi.org/10.1007/s10614-025-10986-1" TargetMode="External" /><Relationship Type="http://schemas.openxmlformats.org/officeDocument/2006/relationships/hyperlink" Id="rId100" Target="https://doi.org/10.1007/s10648-023-09817-2" TargetMode="External" /><Relationship Type="http://schemas.openxmlformats.org/officeDocument/2006/relationships/hyperlink" Id="rId88" Target="https://doi.org/10.1037/h0043158" TargetMode="External" /><Relationship Type="http://schemas.openxmlformats.org/officeDocument/2006/relationships/hyperlink" Id="rId71" Target="https://doi.org/10.1080/01972240490507974" TargetMode="External" /><Relationship Type="http://schemas.openxmlformats.org/officeDocument/2006/relationships/hyperlink" Id="rId77" Target="https://doi.org/10.1093/rfs/hhv059" TargetMode="External" /><Relationship Type="http://schemas.openxmlformats.org/officeDocument/2006/relationships/hyperlink" Id="rId79" Target="https://doi.org/10.1111/jofi.13268" TargetMode="External" /><Relationship Type="http://schemas.openxmlformats.org/officeDocument/2006/relationships/hyperlink" Id="rId75" Target="https://doi.org/10.1145/1133265.1133306" TargetMode="External" /><Relationship Type="http://schemas.openxmlformats.org/officeDocument/2006/relationships/hyperlink" Id="rId68" Target="https://doi.org/10.1162/089976698300017197" TargetMode="External" /><Relationship Type="http://schemas.openxmlformats.org/officeDocument/2006/relationships/hyperlink" Id="rId66" Target="https://doi.org/10.1177/001316446002000104" TargetMode="External" /><Relationship Type="http://schemas.openxmlformats.org/officeDocument/2006/relationships/hyperlink" Id="rId94" Target="https://doi.org/10.1186/s40537-017-0111-6" TargetMode="External" /><Relationship Type="http://schemas.openxmlformats.org/officeDocument/2006/relationships/hyperlink" Id="rId98" Target="https://doi.org/10.1207/s15516709cog1202_4" TargetMode="External" /><Relationship Type="http://schemas.openxmlformats.org/officeDocument/2006/relationships/hyperlink" Id="rId107" Target="https://doi.org/10.1609/aaaiss.v3i1.31290" TargetMode="External" /><Relationship Type="http://schemas.openxmlformats.org/officeDocument/2006/relationships/hyperlink" Id="rId73" Target="https://doi.org/10.1609/aimag.v30i4.2268" TargetMode="External" /><Relationship Type="http://schemas.openxmlformats.org/officeDocument/2006/relationships/hyperlink" Id="rId86" Target="https://doi.org/10.18653/v1/2023.acl-long.714" TargetMode="External" /><Relationship Type="http://schemas.openxmlformats.org/officeDocument/2006/relationships/hyperlink" Id="rId64" Target="https://doi.org/10.18653/v1/2024.findings-acl.137" TargetMode="External" /><Relationship Type="http://schemas.openxmlformats.org/officeDocument/2006/relationships/hyperlink" Id="rId109" Target="https://doi.org/10.18653/v1/D17-1115" TargetMode="External" /><Relationship Type="http://schemas.openxmlformats.org/officeDocument/2006/relationships/hyperlink" Id="rId92" Target="https://doi.org/10.18653/v1/D19-1410" TargetMode="External" /><Relationship Type="http://schemas.openxmlformats.org/officeDocument/2006/relationships/hyperlink" Id="rId102" Target="https://doi.org/10.18653/v1/P19-1656" TargetMode="External" /><Relationship Type="http://schemas.openxmlformats.org/officeDocument/2006/relationships/hyperlink" Id="rId96" Target="https://doi.org/10.18653/v1/W19-2303" TargetMode="External" /><Relationship Type="http://schemas.openxmlformats.org/officeDocument/2006/relationships/hyperlink" Id="rId62" Target="https://doi.org/10.48550/arXiv.1702.01992" TargetMode="External" /><Relationship Type="http://schemas.openxmlformats.org/officeDocument/2006/relationships/hyperlink" Id="rId81" Target="https://doi.org/10.48550/arXiv.2208.11893" TargetMode="External" /><Relationship Type="http://schemas.openxmlformats.org/officeDocument/2006/relationships/hyperlink" Id="rId104" Target="https://doi.org/10.48550/arXiv.2306.06031" TargetMode="External" /><Relationship Type="http://schemas.openxmlformats.org/officeDocument/2006/relationships/hyperlink" Id="rId20" Target="https://github.com/ozge-devops/congress" TargetMode="External" /><Relationship Type="http://schemas.openxmlformats.org/officeDocument/2006/relationships/hyperlink" Id="rId90" Target="https://www.kap.org.t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VESTA: Time-Budgeted Multimodal Agents for Retail Financial Decision Support</dc:title>
  <dc:creator>Peri Gunes; Ozge Zelal Kucuk; Harun Benli</dc:creator>
  <cp:keywords/>
  <dcterms:created xsi:type="dcterms:W3CDTF">2026-08-28T15:16:41Z</dcterms:created>
  <dcterms:modified xsi:type="dcterms:W3CDTF">2026-08-28T15:16:41Z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high-volatility emerging markets such as Borsa Istanbul (BIST), retail investors face a low signal-to-noise ratio created by the divergence between unstructured disclosures and rapidly changing charts. Existing decision-support systems process news and technical pictures independently, and they ignore the investor’s temporal bandwidth: the same briefing is delivered whether the user has one minute or ten. This paper presents VESTA, a three-layer agentic system that (i) retrieves portfolio-conditioned textual evidence, (ii) reads candlestick images and the underlying OHLCV numbers, and (iii) spends a declared 1-, 3-, or 10-minute budget by changing the depth of the agentic chain. We do not treat the scalar cross-modal gate as a methodological contribution; it is a standard sigmoid mixer, compared against GMU and tensor fusion. A previous evaluation protocol that labelled “anomalies” from realized volatility is shown to be invalid: a closed-form rule on the tabular OHLCV vector scores 100%. On a leakage-free next-day direction task over public BIST100 data (2018–2026), no fusion method significantly outperforms GMU (McNemar p&gt;0.46 on seed 0). What does vary across tiers is coverage, declared latency, and length-normalized information noise. A paper-trading overlay on seed-0 calls does not beat buy-and-hold in the 2025–2026 test window. Source: https://github.com/ozge-devops/congress.</vt:lpwstr>
  </property>
  <property fmtid="{D5CDD505-2E9C-101B-9397-08002B2CF9AE}" pid="3" name="bibliography">
    <vt:lpwstr>/workspace/paper/vesta.bib</vt:lpwstr>
  </property>
</Properties>
</file>