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Pr="002C5913"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sectPr w:rsidR="00C846BE" w:rsidRPr="002C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44</Pages>
  <Words>20942</Words>
  <Characters>119374</Characters>
  <Application>Microsoft Office Word</Application>
  <DocSecurity>0</DocSecurity>
  <Lines>994</Lines>
  <Paragraphs>280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64</cp:revision>
  <dcterms:created xsi:type="dcterms:W3CDTF">2023-10-21T18:45:00Z</dcterms:created>
  <dcterms:modified xsi:type="dcterms:W3CDTF">2024-04-14T12:12:00Z</dcterms:modified>
</cp:coreProperties>
</file>