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yöntemi kullanılan</w:t>
      </w:r>
      <w:r w:rsidRPr="00484D86">
        <w:rPr>
          <w:rFonts w:ascii="Aptos" w:hAnsi="Aptos" w:cs="Segoe UI"/>
          <w:b/>
          <w:bCs/>
          <w:color w:val="FF0000"/>
          <w:sz w:val="18"/>
          <w:szCs w:val="18"/>
          <w:shd w:val="clear" w:color="auto" w:fill="F7F7F8"/>
        </w:rPr>
        <w:t xml:space="preserve">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w:t>
      </w:r>
      <w:r w:rsidRPr="00F66BCE">
        <w:rPr>
          <w:rFonts w:ascii="Aptos" w:hAnsi="Aptos" w:cs="Segoe UI"/>
          <w:b/>
          <w:bCs/>
          <w:color w:val="FF0000"/>
          <w:sz w:val="18"/>
          <w:szCs w:val="18"/>
          <w:shd w:val="clear" w:color="auto" w:fill="F7F7F8"/>
        </w:rPr>
        <w:t>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w:t>
      </w:r>
      <w:r w:rsidRPr="00F66BCE">
        <w:rPr>
          <w:rFonts w:ascii="Aptos" w:hAnsi="Aptos" w:cs="Segoe UI"/>
          <w:b/>
          <w:bCs/>
          <w:color w:val="FF0000"/>
          <w:sz w:val="18"/>
          <w:szCs w:val="18"/>
          <w:shd w:val="clear" w:color="auto" w:fill="F7F7F8"/>
        </w:rPr>
        <w:t>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Pr="00484D86" w:rsidRDefault="00484D86" w:rsidP="00484D86">
      <w:pPr>
        <w:pStyle w:val="ListeParagraf"/>
        <w:ind w:left="360"/>
        <w:rPr>
          <w:rFonts w:ascii="Aptos" w:hAnsi="Aptos" w:cs="Segoe UI"/>
          <w:sz w:val="18"/>
          <w:szCs w:val="18"/>
          <w:shd w:val="clear" w:color="auto" w:fill="F7F7F8"/>
        </w:rPr>
      </w:pPr>
    </w:p>
    <w:p w14:paraId="7758BDFD" w14:textId="77777777" w:rsidR="00484D86" w:rsidRPr="00484D86" w:rsidRDefault="00484D86" w:rsidP="00484D86">
      <w:pPr>
        <w:pStyle w:val="ListeParagraf"/>
        <w:ind w:left="360"/>
        <w:rPr>
          <w:rFonts w:ascii="Aptos" w:hAnsi="Aptos" w:cs="Segoe UI"/>
          <w:sz w:val="18"/>
          <w:szCs w:val="18"/>
          <w:shd w:val="clear" w:color="auto" w:fill="F7F7F8"/>
        </w:rPr>
      </w:pPr>
    </w:p>
    <w:sectPr w:rsidR="00484D86" w:rsidRPr="00484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84D86"/>
    <w:rsid w:val="004B79EE"/>
    <w:rsid w:val="004C1C74"/>
    <w:rsid w:val="004C76E3"/>
    <w:rsid w:val="004E6732"/>
    <w:rsid w:val="0050361B"/>
    <w:rsid w:val="00525882"/>
    <w:rsid w:val="0057246E"/>
    <w:rsid w:val="005B182B"/>
    <w:rsid w:val="005C2D5E"/>
    <w:rsid w:val="005D4320"/>
    <w:rsid w:val="005E2859"/>
    <w:rsid w:val="0060564F"/>
    <w:rsid w:val="00635442"/>
    <w:rsid w:val="006435C3"/>
    <w:rsid w:val="006B723E"/>
    <w:rsid w:val="006E47E4"/>
    <w:rsid w:val="006F4FD9"/>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C4E49"/>
    <w:rsid w:val="00BD344F"/>
    <w:rsid w:val="00BE33B6"/>
    <w:rsid w:val="00BE7174"/>
    <w:rsid w:val="00C10E65"/>
    <w:rsid w:val="00C75F1A"/>
    <w:rsid w:val="00C848B3"/>
    <w:rsid w:val="00CB610F"/>
    <w:rsid w:val="00CF654C"/>
    <w:rsid w:val="00D415D6"/>
    <w:rsid w:val="00D87397"/>
    <w:rsid w:val="00DB3A0E"/>
    <w:rsid w:val="00E32AB3"/>
    <w:rsid w:val="00EA0995"/>
    <w:rsid w:val="00EB26CA"/>
    <w:rsid w:val="00EF1C73"/>
    <w:rsid w:val="00F0503B"/>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42</Pages>
  <Words>19465</Words>
  <Characters>110953</Characters>
  <Application>Microsoft Office Word</Application>
  <DocSecurity>0</DocSecurity>
  <Lines>924</Lines>
  <Paragraphs>260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55</cp:revision>
  <dcterms:created xsi:type="dcterms:W3CDTF">2023-10-21T18:45:00Z</dcterms:created>
  <dcterms:modified xsi:type="dcterms:W3CDTF">2024-02-02T15:54:00Z</dcterms:modified>
</cp:coreProperties>
</file>