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AF1" w:rsidRPr="00AD3678" w:rsidRDefault="00224AF1" w:rsidP="00224AF1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AD3678">
        <w:rPr>
          <w:rFonts w:ascii="TimesNewRomanPS-BoldMT" w:hAnsi="TimesNewRomanPS-BoldMT" w:cs="TimesNewRomanPS-BoldMT"/>
          <w:b/>
          <w:bCs/>
          <w:sz w:val="36"/>
          <w:szCs w:val="36"/>
        </w:rPr>
        <w:t>TABLO AL VE TABLO BAĞLA İŞLEMLERİ</w:t>
      </w:r>
    </w:p>
    <w:p w:rsidR="00224AF1" w:rsidRDefault="00224AF1" w:rsidP="00224AF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24AF1" w:rsidRPr="00AD3678" w:rsidRDefault="00224AF1" w:rsidP="00224AF1">
      <w:pPr>
        <w:tabs>
          <w:tab w:val="left" w:pos="3375"/>
        </w:tabs>
        <w:rPr>
          <w:sz w:val="32"/>
          <w:szCs w:val="32"/>
        </w:rPr>
      </w:pPr>
      <w:r w:rsidRPr="00AD3678">
        <w:rPr>
          <w:b/>
          <w:sz w:val="32"/>
          <w:szCs w:val="32"/>
        </w:rPr>
        <w:t>TABLO AL:</w:t>
      </w:r>
      <w:r w:rsidRPr="00AD3678">
        <w:rPr>
          <w:sz w:val="32"/>
          <w:szCs w:val="32"/>
        </w:rPr>
        <w:t xml:space="preserve"> Bir veri tabanı </w:t>
      </w:r>
      <w:proofErr w:type="spellStart"/>
      <w:r w:rsidRPr="00AD3678">
        <w:rPr>
          <w:sz w:val="32"/>
          <w:szCs w:val="32"/>
        </w:rPr>
        <w:t>içersine</w:t>
      </w:r>
      <w:proofErr w:type="spellEnd"/>
      <w:r w:rsidRPr="00AD3678">
        <w:rPr>
          <w:sz w:val="32"/>
          <w:szCs w:val="32"/>
        </w:rPr>
        <w:t xml:space="preserve"> dışardan bilgi aktarmak için kullanılır. Veri tabanınız </w:t>
      </w:r>
      <w:proofErr w:type="spellStart"/>
      <w:r w:rsidRPr="00AD3678">
        <w:rPr>
          <w:sz w:val="32"/>
          <w:szCs w:val="32"/>
        </w:rPr>
        <w:t>içersine</w:t>
      </w:r>
      <w:proofErr w:type="spellEnd"/>
      <w:r w:rsidRPr="00AD3678">
        <w:rPr>
          <w:sz w:val="32"/>
          <w:szCs w:val="32"/>
        </w:rPr>
        <w:t xml:space="preserve"> bilgisayarınızdan tablo, Excel dosyası veya başka bir veri tabanından bilgi aktarabilirsiniz. Alınan dosyanın orijinalinde bir değişiklik yapıldığında bu dosya etkilenmez. Sadece bilgi aktarımı için kullanılır. </w:t>
      </w:r>
    </w:p>
    <w:p w:rsidR="00224AF1" w:rsidRPr="00AD3678" w:rsidRDefault="00224AF1" w:rsidP="00224AF1">
      <w:pPr>
        <w:tabs>
          <w:tab w:val="left" w:pos="3375"/>
        </w:tabs>
        <w:rPr>
          <w:sz w:val="32"/>
          <w:szCs w:val="32"/>
        </w:rPr>
      </w:pPr>
      <w:r w:rsidRPr="00AD3678">
        <w:rPr>
          <w:sz w:val="32"/>
          <w:szCs w:val="32"/>
        </w:rPr>
        <w:t>Veri tabanı dışından bir tablo almak için:</w:t>
      </w:r>
    </w:p>
    <w:p w:rsidR="00224AF1" w:rsidRPr="00AD3678" w:rsidRDefault="00224AF1" w:rsidP="00224AF1">
      <w:pPr>
        <w:numPr>
          <w:ilvl w:val="0"/>
          <w:numId w:val="1"/>
        </w:numPr>
        <w:tabs>
          <w:tab w:val="left" w:pos="3375"/>
        </w:tabs>
        <w:rPr>
          <w:sz w:val="32"/>
          <w:szCs w:val="32"/>
        </w:rPr>
      </w:pPr>
      <w:proofErr w:type="spellStart"/>
      <w:r w:rsidRPr="00AD3678">
        <w:rPr>
          <w:bCs/>
          <w:sz w:val="32"/>
          <w:szCs w:val="32"/>
        </w:rPr>
        <w:t>Veritabanı</w:t>
      </w:r>
      <w:proofErr w:type="spellEnd"/>
      <w:r w:rsidRPr="00AD3678">
        <w:rPr>
          <w:bCs/>
          <w:sz w:val="32"/>
          <w:szCs w:val="32"/>
        </w:rPr>
        <w:t xml:space="preserve"> penceresinde Yeni düğmesine tıklayarak karşımıza çıkan Yeni Tablo penceresindeki Tablo Al </w:t>
      </w:r>
    </w:p>
    <w:p w:rsidR="00224AF1" w:rsidRPr="00AD3678" w:rsidRDefault="00224AF1" w:rsidP="00224AF1">
      <w:pPr>
        <w:numPr>
          <w:ilvl w:val="0"/>
          <w:numId w:val="1"/>
        </w:numPr>
        <w:tabs>
          <w:tab w:val="left" w:pos="3375"/>
        </w:tabs>
        <w:rPr>
          <w:sz w:val="32"/>
          <w:szCs w:val="32"/>
        </w:rPr>
      </w:pPr>
      <w:r w:rsidRPr="00AD3678">
        <w:rPr>
          <w:sz w:val="32"/>
          <w:szCs w:val="32"/>
        </w:rPr>
        <w:t>Dosya menüsünden Dış Veri Al / Al seçeneği</w:t>
      </w:r>
    </w:p>
    <w:p w:rsidR="00224AF1" w:rsidRPr="00AD3678" w:rsidRDefault="00224AF1" w:rsidP="00224AF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AD3678">
        <w:rPr>
          <w:sz w:val="32"/>
          <w:szCs w:val="32"/>
        </w:rPr>
        <w:t>İki seçenekten birisi seçilerek karşımıza gelen sihirbazdan uygun dosya seçilir.</w:t>
      </w:r>
    </w:p>
    <w:p w:rsidR="00224AF1" w:rsidRPr="00AD3678" w:rsidRDefault="00224AF1" w:rsidP="00224AF1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224AF1" w:rsidRPr="00AD3678" w:rsidRDefault="00224AF1" w:rsidP="00224AF1">
      <w:pPr>
        <w:tabs>
          <w:tab w:val="left" w:pos="3375"/>
        </w:tabs>
        <w:rPr>
          <w:sz w:val="32"/>
          <w:szCs w:val="32"/>
        </w:rPr>
      </w:pPr>
      <w:r w:rsidRPr="00AD3678">
        <w:rPr>
          <w:b/>
          <w:sz w:val="32"/>
          <w:szCs w:val="32"/>
        </w:rPr>
        <w:t>TABLO BAĞLA:</w:t>
      </w:r>
      <w:r w:rsidRPr="00AD3678">
        <w:rPr>
          <w:sz w:val="32"/>
          <w:szCs w:val="32"/>
        </w:rPr>
        <w:t xml:space="preserve"> Tablo al seçeneğinde olduğu gibi dışardan veri tabanına veri aktarmak için kullanılır</w:t>
      </w:r>
      <w:proofErr w:type="gramStart"/>
      <w:r w:rsidRPr="00AD3678">
        <w:rPr>
          <w:sz w:val="32"/>
          <w:szCs w:val="32"/>
        </w:rPr>
        <w:t>.</w:t>
      </w:r>
      <w:r w:rsidRPr="00AD3678">
        <w:rPr>
          <w:b/>
          <w:i/>
          <w:sz w:val="32"/>
          <w:szCs w:val="32"/>
        </w:rPr>
        <w:t>.</w:t>
      </w:r>
      <w:proofErr w:type="gramEnd"/>
      <w:r w:rsidRPr="00AD3678">
        <w:rPr>
          <w:sz w:val="32"/>
          <w:szCs w:val="32"/>
        </w:rPr>
        <w:t xml:space="preserve"> Oluşturulan dosyanın yanındaki ok işareti dosyanın tablo bağla ile yapılmış olduğunu gösterir.</w:t>
      </w:r>
    </w:p>
    <w:p w:rsidR="00224AF1" w:rsidRPr="00AD3678" w:rsidRDefault="00224AF1" w:rsidP="00224AF1">
      <w:pPr>
        <w:tabs>
          <w:tab w:val="left" w:pos="3375"/>
        </w:tabs>
        <w:rPr>
          <w:sz w:val="32"/>
          <w:szCs w:val="32"/>
        </w:rPr>
      </w:pPr>
      <w:r w:rsidRPr="00AD3678">
        <w:rPr>
          <w:sz w:val="32"/>
          <w:szCs w:val="32"/>
        </w:rPr>
        <w:t>Veri tabanında tablo bağla işlemi yapmak için:</w:t>
      </w:r>
    </w:p>
    <w:p w:rsidR="00224AF1" w:rsidRPr="00AD3678" w:rsidRDefault="00224AF1" w:rsidP="00224AF1">
      <w:pPr>
        <w:numPr>
          <w:ilvl w:val="0"/>
          <w:numId w:val="1"/>
        </w:numPr>
        <w:tabs>
          <w:tab w:val="left" w:pos="3375"/>
        </w:tabs>
        <w:rPr>
          <w:sz w:val="32"/>
          <w:szCs w:val="32"/>
        </w:rPr>
      </w:pPr>
      <w:proofErr w:type="spellStart"/>
      <w:r w:rsidRPr="00AD3678">
        <w:rPr>
          <w:bCs/>
          <w:sz w:val="32"/>
          <w:szCs w:val="32"/>
        </w:rPr>
        <w:t>Veritabanı</w:t>
      </w:r>
      <w:proofErr w:type="spellEnd"/>
      <w:r w:rsidRPr="00AD3678">
        <w:rPr>
          <w:bCs/>
          <w:sz w:val="32"/>
          <w:szCs w:val="32"/>
        </w:rPr>
        <w:t xml:space="preserve"> penceresinde Yeni düğmesine tıklayarak karşımıza çıkan Yeni Tablo penceresindeki </w:t>
      </w:r>
      <w:proofErr w:type="gramStart"/>
      <w:r w:rsidRPr="00AD3678">
        <w:rPr>
          <w:bCs/>
          <w:sz w:val="32"/>
          <w:szCs w:val="32"/>
        </w:rPr>
        <w:t>Tablo</w:t>
      </w:r>
      <w:r w:rsidRPr="00AD3678">
        <w:rPr>
          <w:sz w:val="32"/>
          <w:szCs w:val="32"/>
        </w:rPr>
        <w:t xml:space="preserve">  Bağla</w:t>
      </w:r>
      <w:proofErr w:type="gramEnd"/>
      <w:r w:rsidRPr="00AD3678">
        <w:rPr>
          <w:sz w:val="32"/>
          <w:szCs w:val="32"/>
        </w:rPr>
        <w:t xml:space="preserve"> seçeneği</w:t>
      </w:r>
    </w:p>
    <w:p w:rsidR="00224AF1" w:rsidRPr="00AD3678" w:rsidRDefault="00224AF1" w:rsidP="00224AF1">
      <w:pPr>
        <w:numPr>
          <w:ilvl w:val="0"/>
          <w:numId w:val="1"/>
        </w:numPr>
        <w:tabs>
          <w:tab w:val="left" w:pos="3375"/>
        </w:tabs>
        <w:rPr>
          <w:sz w:val="32"/>
          <w:szCs w:val="32"/>
        </w:rPr>
      </w:pPr>
      <w:r w:rsidRPr="00AD3678">
        <w:rPr>
          <w:sz w:val="32"/>
          <w:szCs w:val="32"/>
        </w:rPr>
        <w:t>Dosya menüsünden Dış Veri Al / Tabloları Bağla seçeneği</w:t>
      </w:r>
    </w:p>
    <w:p w:rsidR="00224AF1" w:rsidRPr="00AD3678" w:rsidRDefault="00224AF1" w:rsidP="00224AF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AD3678">
        <w:rPr>
          <w:sz w:val="32"/>
          <w:szCs w:val="32"/>
        </w:rPr>
        <w:t>İki seçenekten birisi seçilerek karşımıza gelen sihirbazdan uygun dosya seçilir.</w:t>
      </w:r>
    </w:p>
    <w:p w:rsidR="00224AF1" w:rsidRPr="00862A34" w:rsidRDefault="00224AF1" w:rsidP="00224AF1">
      <w:pPr>
        <w:autoSpaceDE w:val="0"/>
        <w:autoSpaceDN w:val="0"/>
        <w:adjustRightInd w:val="0"/>
        <w:rPr>
          <w:rFonts w:ascii="TimesNewRomanPS-BoldMT" w:hAnsi="TimesNewRomanPS-BoldMT" w:cs="TimesNewRomanPS-BoldMT"/>
          <w:bCs/>
          <w:sz w:val="28"/>
          <w:szCs w:val="28"/>
        </w:rPr>
      </w:pPr>
      <w:r w:rsidRPr="00862A34"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</w:p>
    <w:p w:rsidR="00224AF1" w:rsidRDefault="00224AF1" w:rsidP="00224AF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2"/>
          <w:szCs w:val="22"/>
        </w:rPr>
      </w:pP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243580" cy="19494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</w:t>
      </w: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drawing>
          <wp:inline distT="0" distB="0" distL="0" distR="0">
            <wp:extent cx="3226435" cy="1941195"/>
            <wp:effectExtent l="0" t="0" r="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Karşımıza çıkan pencereden verileri alacağımız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veritabanı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yada</w:t>
      </w:r>
      <w:proofErr w:type="gram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farklı dosya türünü seçerek ilgili dosyayı seçeriz.</w:t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drawing>
          <wp:inline distT="0" distB="0" distL="0" distR="0">
            <wp:extent cx="5727700" cy="3743960"/>
            <wp:effectExtent l="0" t="0" r="635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Eğer bir Access dosyasından bilgi alacaksak veri tabanı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içersindeki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tablolar karşımıza gelir. İstediğimiz tabloları seçerek tamam butonuna tıklayarak işlemimizi tamamlamış oluruz.</w:t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drawing>
          <wp:inline distT="0" distB="0" distL="0" distR="0">
            <wp:extent cx="4624070" cy="2363470"/>
            <wp:effectExtent l="0" t="0" r="508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drawing>
          <wp:inline distT="0" distB="0" distL="0" distR="0">
            <wp:extent cx="3183255" cy="1397635"/>
            <wp:effectExtent l="19050" t="19050" r="17145" b="1206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39763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Eğer Access dışında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excell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gibi farklı bir dosyada veri alacaksak dosya türü değiştirilir ve bu pencereden veri alınacak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excell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belgesi seçilir. Karşımıza elektronik tablo alma sihirbazı penceresi gelir.</w:t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632325" cy="371792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İlgili çalıma sayfası seçildikten sonra ileri düğmesine tıklanarak ilk pencerede sütun başlıklarını, ikinci pencerede alınacak veri için yeni bir tablo mu yoksa daha önceden oluşturulmuş bir tablo mu kullanılacağı seçilir</w:t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312795" cy="2656840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drawing>
          <wp:inline distT="0" distB="0" distL="0" distR="0">
            <wp:extent cx="3312795" cy="2656840"/>
            <wp:effectExtent l="0" t="0" r="190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 </w:t>
      </w: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drawing>
          <wp:inline distT="0" distB="0" distL="0" distR="0">
            <wp:extent cx="3044825" cy="2432685"/>
            <wp:effectExtent l="0" t="0" r="3175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drawing>
          <wp:inline distT="0" distB="0" distL="0" distR="0">
            <wp:extent cx="3088005" cy="247586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Alan seçenekleri belirlenir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ab/>
        <w:t>Birincil anahtar için uygun seçenek seçilir</w:t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drawing>
          <wp:inline distT="0" distB="0" distL="0" distR="0">
            <wp:extent cx="3088005" cy="24758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Oluşturulan yeni tabloya isim verilir.</w:t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Tablonun başka bir belgeye bağlı olduğu tablonun yanındaki ok simgesinden anlaşılır.</w:t>
      </w: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24AF1" w:rsidRDefault="00224AF1" w:rsidP="00224AF1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Tablo al seçeneğinde yapılacak işlemler aynıdır.</w:t>
      </w:r>
    </w:p>
    <w:p w:rsidR="00057511" w:rsidRDefault="00224AF1">
      <w:bookmarkStart w:id="0" w:name="_GoBack"/>
      <w:bookmarkEnd w:id="0"/>
    </w:p>
    <w:sectPr w:rsidR="00057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8070000" w:usb2="00000010" w:usb3="00000000" w:csb0="0002001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9118F"/>
    <w:multiLevelType w:val="hybridMultilevel"/>
    <w:tmpl w:val="26CCB106"/>
    <w:lvl w:ilvl="0" w:tplc="A2ECC2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6A"/>
    <w:rsid w:val="001A61CD"/>
    <w:rsid w:val="00224AF1"/>
    <w:rsid w:val="0031196A"/>
    <w:rsid w:val="00C9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A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24AF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24AF1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A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24AF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24AF1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EFSUN</dc:creator>
  <cp:keywords/>
  <dc:description/>
  <cp:lastModifiedBy>EFSUN</cp:lastModifiedBy>
  <cp:revision>2</cp:revision>
  <dcterms:created xsi:type="dcterms:W3CDTF">2011-03-15T07:00:00Z</dcterms:created>
  <dcterms:modified xsi:type="dcterms:W3CDTF">2011-03-15T07:02:00Z</dcterms:modified>
</cp:coreProperties>
</file>