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particulier de sécurité et de protection de la santé (PPSPS)</w:t>
      </w:r>
    </w:p>
    <w:p>
      <w:r>
        <w:rPr>
          <w:b/>
          <w:i w:val="0"/>
        </w:rPr>
        <w:t>FICTIONAL - NOT FOR OPERATIONAL USE - Document d'exemple fictif : les mesures et les valeurs ci-dessous sont inventées et ne constituent pas un plan de prévention applicable.</w:t>
      </w:r>
    </w:p>
    <w:p>
      <w:pPr>
        <w:pStyle w:val="Heading1"/>
      </w:pPr>
      <w:r>
        <w:t>1. Renseignements généraux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>
              <w:rPr>
                <w:b/>
                <w:sz w:val="19"/>
              </w:rPr>
              <w:t>Rubrique</w:t>
            </w:r>
          </w:p>
        </w:tc>
        <w:tc>
          <w:tcPr>
            <w:tcW w:type="dxa" w:w="6803"/>
          </w:tcPr>
          <w:p>
            <w:r>
              <w:rPr>
                <w:b/>
                <w:sz w:val="19"/>
              </w:rPr>
              <w:t>Valeur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Chantier</w:t>
            </w:r>
          </w:p>
        </w:tc>
        <w:tc>
          <w:tcPr>
            <w:tcW w:type="dxa" w:w="6803"/>
          </w:tcPr>
          <w:p>
            <w:r>
              <w:rPr>
                <w:b w:val="0"/>
                <w:sz w:val="19"/>
              </w:rPr>
              <w:t>Rénovation énergétique de l'école élémentaire du Bourg, rue de l'École, Montferrine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Maître d'ouvrage</w:t>
            </w:r>
          </w:p>
        </w:tc>
        <w:tc>
          <w:tcPr>
            <w:tcW w:type="dxa" w:w="6803"/>
          </w:tcPr>
          <w:p>
            <w:r>
              <w:rPr>
                <w:b w:val="0"/>
                <w:sz w:val="19"/>
              </w:rPr>
              <w:t>Commune de Montferrine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Entreprise titulaire</w:t>
            </w:r>
          </w:p>
        </w:tc>
        <w:tc>
          <w:tcPr>
            <w:tcW w:type="dxa" w:w="6803"/>
          </w:tcPr>
          <w:p>
            <w:r>
              <w:rPr>
                <w:b w:val="0"/>
                <w:sz w:val="19"/>
              </w:rPr>
              <w:t>Lamna Bâtiment, 4 rue des Artisans, Valbrise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Responsable du chantier</w:t>
            </w:r>
          </w:p>
        </w:tc>
        <w:tc>
          <w:tcPr>
            <w:tcW w:type="dxa" w:w="6803"/>
          </w:tcPr>
          <w:p>
            <w:r>
              <w:rPr>
                <w:b w:val="0"/>
                <w:sz w:val="19"/>
              </w:rPr>
              <w:t>Inès Roux, conductrice de travaux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Coordonnateur SPS</w:t>
            </w:r>
          </w:p>
        </w:tc>
        <w:tc>
          <w:tcPr>
            <w:tcW w:type="dxa" w:w="6803"/>
          </w:tcPr>
          <w:p>
            <w:r>
              <w:rPr>
                <w:b w:val="0"/>
                <w:sz w:val="19"/>
              </w:rPr>
              <w:t>Gaëtan Ferlicot, Trey Prévention (désigné par le maître d'ouvrage)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Période des travaux</w:t>
            </w:r>
          </w:p>
        </w:tc>
        <w:tc>
          <w:tcPr>
            <w:tcW w:type="dxa" w:w="6803"/>
          </w:tcPr>
          <w:p>
            <w:r>
              <w:rPr>
                <w:b w:val="0"/>
                <w:sz w:val="19"/>
              </w:rPr>
              <w:t>du 06/07/2026 au 28/08/2026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Horaires</w:t>
            </w:r>
          </w:p>
        </w:tc>
        <w:tc>
          <w:tcPr>
            <w:tcW w:type="dxa" w:w="6803"/>
          </w:tcPr>
          <w:p>
            <w:r>
              <w:rPr>
                <w:b w:val="0"/>
                <w:sz w:val="19"/>
              </w:rPr>
              <w:t>7h30 - 16h30, du lundi au vendredi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19"/>
              </w:rPr>
              <w:t>Effectif maximal prévu</w:t>
            </w:r>
          </w:p>
        </w:tc>
        <w:tc>
          <w:tcPr>
            <w:tcW w:type="dxa" w:w="6803"/>
          </w:tcPr>
          <w:p>
            <w:r>
              <w:rPr>
                <w:b w:val="0"/>
                <w:sz w:val="19"/>
              </w:rPr>
              <w:t>8 personnes</w:t>
            </w:r>
          </w:p>
        </w:tc>
      </w:tr>
    </w:tbl>
    <w:p>
      <w:pPr>
        <w:pStyle w:val="Heading1"/>
      </w:pPr>
      <w:r>
        <w:t>2. Entreprises intervenantes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54"/>
          </w:tcPr>
          <w:p>
            <w:r>
              <w:rPr>
                <w:b/>
                <w:sz w:val="19"/>
              </w:rPr>
              <w:t>Entreprise</w:t>
            </w:r>
          </w:p>
        </w:tc>
        <w:tc>
          <w:tcPr>
            <w:tcW w:type="dxa" w:w="3969"/>
          </w:tcPr>
          <w:p>
            <w:r>
              <w:rPr>
                <w:b/>
                <w:sz w:val="19"/>
              </w:rPr>
              <w:t>Travaux</w:t>
            </w:r>
          </w:p>
        </w:tc>
        <w:tc>
          <w:tcPr>
            <w:tcW w:type="dxa" w:w="1020"/>
          </w:tcPr>
          <w:p>
            <w:r>
              <w:rPr>
                <w:b/>
                <w:sz w:val="19"/>
              </w:rPr>
              <w:t>Effectif</w:t>
            </w:r>
          </w:p>
        </w:tc>
        <w:tc>
          <w:tcPr>
            <w:tcW w:type="dxa" w:w="2494"/>
          </w:tcPr>
          <w:p>
            <w:r>
              <w:rPr>
                <w:b/>
                <w:sz w:val="19"/>
              </w:rPr>
              <w:t>Période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  <w:sz w:val="19"/>
              </w:rPr>
              <w:t>Lamna Bâtiment</w:t>
            </w:r>
          </w:p>
        </w:tc>
        <w:tc>
          <w:tcPr>
            <w:tcW w:type="dxa" w:w="3969"/>
          </w:tcPr>
          <w:p>
            <w:r>
              <w:rPr>
                <w:b w:val="0"/>
                <w:sz w:val="19"/>
              </w:rPr>
              <w:t>Dépose et pose des fenêtres, isolation et faux plafonds, peinture</w:t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du 06/07/2026 au 26/08/2026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  <w:sz w:val="19"/>
              </w:rPr>
              <w:t>Adatum Électricité</w:t>
            </w:r>
          </w:p>
        </w:tc>
        <w:tc>
          <w:tcPr>
            <w:tcW w:type="dxa" w:w="3969"/>
          </w:tcPr>
          <w:p>
            <w:r>
              <w:rPr>
                <w:b w:val="0"/>
                <w:sz w:val="19"/>
              </w:rPr>
              <w:t>Éclairage LED</w:t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du 03/08/2026 au 07/08/2026</w:t>
            </w:r>
          </w:p>
        </w:tc>
      </w:tr>
      <w:tr>
        <w:tc>
          <w:tcPr>
            <w:tcW w:type="dxa" w:w="2154"/>
          </w:tcPr>
          <w:p>
            <w:r>
              <w:rPr>
                <w:b w:val="0"/>
                <w:sz w:val="19"/>
              </w:rPr>
              <w:t>Litware Plomberie</w:t>
            </w:r>
          </w:p>
        </w:tc>
        <w:tc>
          <w:tcPr>
            <w:tcW w:type="dxa" w:w="3969"/>
          </w:tcPr>
          <w:p>
            <w:r>
              <w:rPr>
                <w:b w:val="0"/>
                <w:sz w:val="19"/>
              </w:rPr>
              <w:t>Rénovation du bloc sanitaire</w:t>
            </w:r>
          </w:p>
        </w:tc>
        <w:tc>
          <w:tcPr>
            <w:tcW w:type="dxa" w:w="1020"/>
          </w:tcPr>
          <w:p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du 06/07/2026 au 31/07/2026</w:t>
            </w:r>
          </w:p>
        </w:tc>
      </w:tr>
    </w:tbl>
    <w:p>
      <w:pPr>
        <w:pStyle w:val="Heading1"/>
      </w:pPr>
      <w:r>
        <w:t>3. Installations d'hygiène</w:t>
      </w:r>
    </w:p>
    <w:p>
      <w:r>
        <w:rPr>
          <w:b w:val="0"/>
          <w:i w:val="0"/>
        </w:rPr>
        <w:t>Base vie installée dans la cour : vestiaire, sanitaires et réfectoire chauffés, raccordés aux réseaux de l'école.</w:t>
      </w:r>
    </w:p>
    <w:p>
      <w:r>
        <w:rPr>
          <w:b w:val="0"/>
          <w:i w:val="0"/>
        </w:rPr>
        <w:t>Repérage amiante avant travaux : dossier technique amiante (DTA) de la commune consulté le 22/04/2026 ; aucun matériau amianté dans les menuiseries, les plafonds et le bloc sanitaire concernés par les travaux.</w:t>
      </w:r>
    </w:p>
    <w:p>
      <w:pPr>
        <w:pStyle w:val="Heading1"/>
      </w:pPr>
      <w:r>
        <w:t>4. Analyse des risques et mesures de prévention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</w:tcPr>
          <w:p>
            <w:r>
              <w:rPr>
                <w:b/>
                <w:sz w:val="19"/>
              </w:rPr>
              <w:t>Risque</w:t>
            </w:r>
          </w:p>
        </w:tc>
        <w:tc>
          <w:tcPr>
            <w:tcW w:type="dxa" w:w="2835"/>
          </w:tcPr>
          <w:p>
            <w:r>
              <w:rPr>
                <w:b/>
                <w:sz w:val="19"/>
              </w:rPr>
              <w:t>Situation de travail</w:t>
            </w:r>
          </w:p>
        </w:tc>
        <w:tc>
          <w:tcPr>
            <w:tcW w:type="dxa" w:w="4876"/>
          </w:tcPr>
          <w:p>
            <w:r>
              <w:rPr>
                <w:b/>
                <w:sz w:val="19"/>
              </w:rPr>
              <w:t>Mesures</w:t>
            </w:r>
          </w:p>
        </w:tc>
      </w:tr>
      <w:tr>
        <w:tc>
          <w:tcPr>
            <w:tcW w:type="dxa" w:w="1928"/>
          </w:tcPr>
          <w:p>
            <w:r>
              <w:rPr>
                <w:b w:val="0"/>
                <w:sz w:val="19"/>
              </w:rPr>
              <w:t>Travail en hauteur</w:t>
            </w:r>
          </w:p>
        </w:tc>
        <w:tc>
          <w:tcPr>
            <w:tcW w:type="dxa" w:w="2835"/>
          </w:tcPr>
          <w:p>
            <w:r>
              <w:rPr>
                <w:b w:val="0"/>
                <w:sz w:val="19"/>
              </w:rPr>
              <w:t>Dépose et pose des fenêtres, faux plafonds</w:t>
            </w:r>
          </w:p>
        </w:tc>
        <w:tc>
          <w:tcPr>
            <w:tcW w:type="dxa" w:w="4876"/>
          </w:tcPr>
          <w:p>
            <w:r>
              <w:rPr>
                <w:b w:val="0"/>
                <w:sz w:val="19"/>
              </w:rPr>
              <w:t>Échafaudage roulant MAT-07 avec garde-corps ; nacelle élévatrice MAT-04 utilisée uniquement avec une vérification générale périodique à jour et par des conducteurs titulaires du CACES R486</w:t>
            </w:r>
          </w:p>
        </w:tc>
      </w:tr>
      <w:tr>
        <w:tc>
          <w:tcPr>
            <w:tcW w:type="dxa" w:w="1928"/>
          </w:tcPr>
          <w:p>
            <w:r>
              <w:rPr>
                <w:b w:val="0"/>
                <w:sz w:val="19"/>
              </w:rPr>
              <w:t>Chute d'objets</w:t>
            </w:r>
          </w:p>
        </w:tc>
        <w:tc>
          <w:tcPr>
            <w:tcW w:type="dxa" w:w="2835"/>
          </w:tcPr>
          <w:p>
            <w:r>
              <w:rPr>
                <w:b w:val="0"/>
                <w:sz w:val="19"/>
              </w:rPr>
              <w:t>Dépose des menuiseries</w:t>
            </w:r>
          </w:p>
        </w:tc>
        <w:tc>
          <w:tcPr>
            <w:tcW w:type="dxa" w:w="4876"/>
          </w:tcPr>
          <w:p>
            <w:r>
              <w:rPr>
                <w:b w:val="0"/>
                <w:sz w:val="19"/>
              </w:rPr>
              <w:t>Balisage de la zone au sol, port du casque</w:t>
            </w:r>
          </w:p>
        </w:tc>
      </w:tr>
      <w:tr>
        <w:tc>
          <w:tcPr>
            <w:tcW w:type="dxa" w:w="1928"/>
          </w:tcPr>
          <w:p>
            <w:r>
              <w:rPr>
                <w:b w:val="0"/>
                <w:sz w:val="19"/>
              </w:rPr>
              <w:t>Poussières</w:t>
            </w:r>
          </w:p>
        </w:tc>
        <w:tc>
          <w:tcPr>
            <w:tcW w:type="dxa" w:w="2835"/>
          </w:tcPr>
          <w:p>
            <w:r>
              <w:rPr>
                <w:b w:val="0"/>
                <w:sz w:val="19"/>
              </w:rPr>
              <w:t>Dépose des anciens plafonds</w:t>
            </w:r>
          </w:p>
        </w:tc>
        <w:tc>
          <w:tcPr>
            <w:tcW w:type="dxa" w:w="4876"/>
          </w:tcPr>
          <w:p>
            <w:r>
              <w:rPr>
                <w:b w:val="0"/>
                <w:sz w:val="19"/>
              </w:rPr>
              <w:t>Aspiration à la source, masques filtrants</w:t>
            </w:r>
          </w:p>
        </w:tc>
      </w:tr>
      <w:tr>
        <w:tc>
          <w:tcPr>
            <w:tcW w:type="dxa" w:w="1928"/>
          </w:tcPr>
          <w:p>
            <w:r>
              <w:rPr>
                <w:b w:val="0"/>
                <w:sz w:val="19"/>
              </w:rPr>
              <w:t>Risque électrique</w:t>
            </w:r>
          </w:p>
        </w:tc>
        <w:tc>
          <w:tcPr>
            <w:tcW w:type="dxa" w:w="2835"/>
          </w:tcPr>
          <w:p>
            <w:r>
              <w:rPr>
                <w:b w:val="0"/>
                <w:sz w:val="19"/>
              </w:rPr>
              <w:t>Éclairage LED</w:t>
            </w:r>
          </w:p>
        </w:tc>
        <w:tc>
          <w:tcPr>
            <w:tcW w:type="dxa" w:w="4876"/>
          </w:tcPr>
          <w:p>
            <w:r>
              <w:rPr>
                <w:b w:val="0"/>
                <w:sz w:val="19"/>
              </w:rPr>
              <w:t>Consignation des circuits par Adatum Électricité avant intervention</w:t>
            </w:r>
          </w:p>
        </w:tc>
      </w:tr>
      <w:tr>
        <w:tc>
          <w:tcPr>
            <w:tcW w:type="dxa" w:w="1928"/>
          </w:tcPr>
          <w:p>
            <w:r>
              <w:rPr>
                <w:b w:val="0"/>
                <w:sz w:val="19"/>
              </w:rPr>
              <w:t>Manutention</w:t>
            </w:r>
          </w:p>
        </w:tc>
        <w:tc>
          <w:tcPr>
            <w:tcW w:type="dxa" w:w="2835"/>
          </w:tcPr>
          <w:p>
            <w:r>
              <w:rPr>
                <w:b w:val="0"/>
                <w:sz w:val="19"/>
              </w:rPr>
              <w:t>Fenêtres aluminium (environ 45 kg)</w:t>
            </w:r>
          </w:p>
        </w:tc>
        <w:tc>
          <w:tcPr>
            <w:tcW w:type="dxa" w:w="4876"/>
          </w:tcPr>
          <w:p>
            <w:r>
              <w:rPr>
                <w:b w:val="0"/>
                <w:sz w:val="19"/>
              </w:rPr>
              <w:t>Manutention à deux et chariot porte-vitrage</w:t>
            </w:r>
          </w:p>
        </w:tc>
      </w:tr>
      <w:tr>
        <w:tc>
          <w:tcPr>
            <w:tcW w:type="dxa" w:w="1928"/>
          </w:tcPr>
          <w:p>
            <w:r>
              <w:rPr>
                <w:b w:val="0"/>
                <w:sz w:val="19"/>
              </w:rPr>
              <w:t>Coactivité</w:t>
            </w:r>
          </w:p>
        </w:tc>
        <w:tc>
          <w:tcPr>
            <w:tcW w:type="dxa" w:w="2835"/>
          </w:tcPr>
          <w:p>
            <w:r>
              <w:rPr>
                <w:b w:val="0"/>
                <w:sz w:val="19"/>
              </w:rPr>
              <w:t>Accueil de loisirs dans le préau et la cantine</w:t>
            </w:r>
          </w:p>
        </w:tc>
        <w:tc>
          <w:tcPr>
            <w:tcW w:type="dxa" w:w="4876"/>
          </w:tcPr>
          <w:p>
            <w:r>
              <w:rPr>
                <w:b w:val="0"/>
                <w:sz w:val="19"/>
              </w:rPr>
              <w:t>Zones de travail séparées et balisées, accès distinct par la rue de l'École</w:t>
            </w:r>
          </w:p>
        </w:tc>
      </w:tr>
    </w:tbl>
    <w:p>
      <w:pPr>
        <w:pStyle w:val="Heading1"/>
      </w:pPr>
      <w:r>
        <w:t>5. Secours</w:t>
      </w:r>
    </w:p>
    <w:p>
      <w:r>
        <w:rPr>
          <w:b w:val="0"/>
          <w:i w:val="0"/>
        </w:rPr>
        <w:t>Sauveteur secouriste du travail présent sur le chantier : Mathis Ancelin. Trousse de secours dans la base vie ; consignes et numéros d'urgence affichés dans la base vie.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r>
              <w:rPr>
                <w:b/>
                <w:sz w:val="19"/>
              </w:rPr>
              <w:t>Secours</w:t>
            </w:r>
          </w:p>
        </w:tc>
        <w:tc>
          <w:tcPr>
            <w:tcW w:type="dxa" w:w="5102"/>
          </w:tcPr>
          <w:p>
            <w:r>
              <w:rPr>
                <w:b/>
                <w:sz w:val="19"/>
              </w:rPr>
              <w:t>Appel</w:t>
            </w:r>
          </w:p>
        </w:tc>
      </w:tr>
      <w:tr>
        <w:tc>
          <w:tcPr>
            <w:tcW w:type="dxa" w:w="4535"/>
          </w:tcPr>
          <w:p>
            <w:r>
              <w:rPr>
                <w:b w:val="0"/>
                <w:sz w:val="19"/>
              </w:rPr>
              <w:t>SAMU</w:t>
            </w:r>
          </w:p>
        </w:tc>
        <w:tc>
          <w:tcPr>
            <w:tcW w:type="dxa" w:w="5102"/>
          </w:tcPr>
          <w:p>
            <w:r>
              <w:rPr>
                <w:b w:val="0"/>
                <w:sz w:val="19"/>
              </w:rPr>
              <w:t>15</w:t>
            </w:r>
          </w:p>
        </w:tc>
      </w:tr>
      <w:tr>
        <w:tc>
          <w:tcPr>
            <w:tcW w:type="dxa" w:w="4535"/>
          </w:tcPr>
          <w:p>
            <w:r>
              <w:rPr>
                <w:b w:val="0"/>
                <w:sz w:val="19"/>
              </w:rPr>
              <w:t>Sapeurs-pompiers</w:t>
            </w:r>
          </w:p>
        </w:tc>
        <w:tc>
          <w:tcPr>
            <w:tcW w:type="dxa" w:w="5102"/>
          </w:tcPr>
          <w:p>
            <w:r>
              <w:rPr>
                <w:b w:val="0"/>
                <w:sz w:val="19"/>
              </w:rPr>
              <w:t>18</w:t>
            </w:r>
          </w:p>
        </w:tc>
      </w:tr>
      <w:tr>
        <w:tc>
          <w:tcPr>
            <w:tcW w:type="dxa" w:w="4535"/>
          </w:tcPr>
          <w:p>
            <w:r>
              <w:rPr>
                <w:b w:val="0"/>
                <w:sz w:val="19"/>
              </w:rPr>
              <w:t>Numéro d'urgence européen</w:t>
            </w:r>
          </w:p>
        </w:tc>
        <w:tc>
          <w:tcPr>
            <w:tcW w:type="dxa" w:w="5102"/>
          </w:tcPr>
          <w:p>
            <w:r>
              <w:rPr>
                <w:b w:val="0"/>
                <w:sz w:val="19"/>
              </w:rPr>
              <w:t>112</w:t>
            </w:r>
          </w:p>
        </w:tc>
      </w:tr>
      <w:tr>
        <w:tc>
          <w:tcPr>
            <w:tcW w:type="dxa" w:w="4535"/>
          </w:tcPr>
          <w:p>
            <w:r>
              <w:rPr>
                <w:b w:val="0"/>
                <w:sz w:val="19"/>
              </w:rPr>
              <w:t>Hôpital le plus proche</w:t>
            </w:r>
          </w:p>
        </w:tc>
        <w:tc>
          <w:tcPr>
            <w:tcW w:type="dxa" w:w="5102"/>
          </w:tcPr>
          <w:p>
            <w:r>
              <w:rPr>
                <w:b w:val="0"/>
                <w:sz w:val="19"/>
              </w:rPr>
              <w:t>centre hospitalier de Valbrise (service des urgences)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r>
              <w:rPr>
                <w:b/>
                <w:sz w:val="19"/>
              </w:rPr>
              <w:t>Établi par</w:t>
            </w:r>
          </w:p>
        </w:tc>
      </w:tr>
      <w:tr>
        <w:tc>
          <w:tcPr>
            <w:tcW w:type="dxa" w:w="9638"/>
          </w:tcPr>
          <w:p>
            <w:r>
              <w:rPr>
                <w:b w:val="0"/>
                <w:sz w:val="19"/>
              </w:rPr>
              <w:t>Lamna Bâtiment</w:t>
              <w:br/>
              <w:t>Inès Roux, conductrice de travaux</w:t>
              <w:br/>
              <w:t>Le 24/04/2026</w:t>
            </w:r>
          </w:p>
        </w:tc>
      </w:tr>
    </w:tbl>
    <w:p>
      <w:r>
        <w:rPr>
          <w:b/>
          <w:i w:val="0"/>
        </w:rPr>
        <w:t>FICTIONAL - NOT FOR OPERATIONAL USE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FICTIONAL - NOT FOR OPERATIONAL USE  |  PPSPS - École élémentaire du Bourg, Montferrine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Lamna Bâtiment - PPSPS  |  FICTIONAL - NOT FOR OPERATIONAL USE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DocWiki sample generator</Application>
  <Company>Lamna Bâtiment</Company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PPSPS de Lamna Bâtiment - Rénovation énergétique de l'école élémentaire du Bourg</dc:title>
  <dc:subject>FICTIONAL - NOT FOR OPERATIONAL USE</dc:subject>
  <dc:creator>DocWiki sample generator</dc:creator>
  <cp:keywords>ppsps fictional sample</cp:keywords>
  <dc:description>FICTIONAL - NOT FOR OPERATIONAL USE</dc:description>
  <cp:lastModifiedBy>DocWiki sample generator</cp:lastModifiedBy>
  <cp:revision>1</cp:revision>
  <dc:language>fr-FR</dc:language>
  <dcterms:created xsi:type="dcterms:W3CDTF">2026-04-24T08:30:00Z</dcterms:created>
  <dcterms:modified xsi:type="dcterms:W3CDTF">2026-04-24T16:45:00Z</dcterms:modified>
</cp:coreProperties>
</file>