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Marché de travaux - Ravalement avec isolation thermique par l'extérieur et menuiseries des parties communes</w:t>
      </w:r>
    </w:p>
    <w:p>
      <w:r>
        <w:rPr>
          <w:b/>
          <w:i w:val="0"/>
        </w:rPr>
        <w:t>Entre les soussignés :</w:t>
      </w:r>
    </w:p>
    <w:p>
      <w:r>
        <w:rPr>
          <w:b w:val="0"/>
          <w:i w:val="0"/>
        </w:rPr>
        <w:t>Le syndicat des copropriétaires de la résidence Les Nacrines, 8 avenue des Glycines, Valbrise, représenté par son syndic Proseware Gestion, elle-même représentée par Mme Clarisse Monfreuil, gestionnaire de copropriété, ci-après « le maître d'ouvrage »</w:t>
      </w:r>
    </w:p>
    <w:p>
      <w:r>
        <w:rPr>
          <w:b w:val="0"/>
          <w:i w:val="0"/>
        </w:rPr>
        <w:t>et</w:t>
      </w:r>
    </w:p>
    <w:p>
      <w:r>
        <w:rPr>
          <w:b w:val="0"/>
          <w:i w:val="0"/>
        </w:rPr>
        <w:t>Lamna Bâtiment, 4 rue des Artisans, Valbrise, représentée par M. Bertrand Sauzède, gérant, ci-après « l'entrepreneur »</w:t>
      </w:r>
    </w:p>
    <w:p>
      <w:r>
        <w:rPr>
          <w:b w:val="0"/>
          <w:i w:val="0"/>
        </w:rPr>
        <w:t>en présence de</w:t>
      </w:r>
    </w:p>
    <w:p>
      <w:r>
        <w:rPr>
          <w:b w:val="0"/>
          <w:i w:val="0"/>
        </w:rPr>
        <w:t>Atelier Fabrikam, représenté par Mme Hélène Vasseroux, architecte, ci-après « le maître d'œuvre »</w:t>
      </w:r>
    </w:p>
    <w:p>
      <w:r>
        <w:rPr>
          <w:b w:val="0"/>
          <w:i w:val="0"/>
        </w:rPr>
        <w:t>Les travaux ont été votés par l'assemblée générale des copropriétaires du 23/10/2025.</w:t>
      </w:r>
    </w:p>
    <w:p>
      <w:r>
        <w:rPr>
          <w:b w:val="0"/>
          <w:i w:val="0"/>
        </w:rPr>
        <w:t>Il a été convenu ce qui suit.</w:t>
      </w:r>
    </w:p>
    <w:p>
      <w:pPr>
        <w:pStyle w:val="Heading1"/>
      </w:pPr>
      <w:r>
        <w:t>Article 1 - Objet</w:t>
      </w:r>
    </w:p>
    <w:p>
      <w:r>
        <w:rPr>
          <w:b w:val="0"/>
          <w:i w:val="0"/>
        </w:rPr>
        <w:t>L'entrepreneur réalise le ravalement des façades de la résidence Les Nacrines avec isolation thermique par l'extérieur des façades nord et ouest et peinture minérale des façades sud et est, le remplacement des fenêtres des deux cages d'escalier et des portes d'entrée des halls A et B, et la dépose et repose des équipements électriques de façade.</w:t>
      </w:r>
    </w:p>
    <w:p>
      <w:pPr>
        <w:pStyle w:val="Heading1"/>
      </w:pPr>
      <w:r>
        <w:t>Article 2 - Décomposition du prix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tcPr>
          <w:p>
            <w:r>
              <w:rPr>
                <w:b/>
                <w:sz w:val="19"/>
              </w:rPr>
              <w:t>Poste</w:t>
            </w:r>
          </w:p>
        </w:tc>
        <w:tc>
          <w:tcPr>
            <w:tcW w:type="dxa" w:w="5102"/>
          </w:tcPr>
          <w:p>
            <w:r>
              <w:rPr>
                <w:b/>
                <w:sz w:val="19"/>
              </w:rPr>
              <w:t>Désignation</w:t>
            </w:r>
          </w:p>
        </w:tc>
        <w:tc>
          <w:tcPr>
            <w:tcW w:type="dxa" w:w="794"/>
          </w:tcPr>
          <w:p>
            <w:pPr>
              <w:jc w:val="right"/>
            </w:pPr>
            <w:r>
              <w:rPr>
                <w:b/>
                <w:sz w:val="19"/>
              </w:rPr>
              <w:t>Qté</w:t>
            </w:r>
          </w:p>
        </w:tc>
        <w:tc>
          <w:tcPr>
            <w:tcW w:type="dxa" w:w="567"/>
          </w:tcPr>
          <w:p>
            <w:r>
              <w:rPr>
                <w:b/>
                <w:sz w:val="19"/>
              </w:rPr>
              <w:t>U</w:t>
            </w:r>
          </w:p>
        </w:tc>
        <w:tc>
          <w:tcPr>
            <w:tcW w:type="dxa" w:w="1247"/>
          </w:tcPr>
          <w:p>
            <w:pPr>
              <w:jc w:val="right"/>
            </w:pPr>
            <w:r>
              <w:rPr>
                <w:b/>
                <w:sz w:val="19"/>
              </w:rPr>
              <w:t>PU HT</w:t>
            </w:r>
          </w:p>
        </w:tc>
        <w:tc>
          <w:tcPr>
            <w:tcW w:type="dxa" w:w="1247"/>
          </w:tcPr>
          <w:p>
            <w:pPr>
              <w:jc w:val="right"/>
            </w:pPr>
            <w:r>
              <w:rPr>
                <w:b/>
                <w:sz w:val="19"/>
              </w:rPr>
              <w:t>Total HT</w:t>
            </w:r>
          </w:p>
        </w:tc>
      </w:tr>
      <w:tr>
        <w:tc>
          <w:tcPr>
            <w:tcW w:type="dxa" w:w="680"/>
          </w:tcPr>
          <w:p>
            <w:r>
              <w:rPr>
                <w:b w:val="0"/>
                <w:sz w:val="19"/>
              </w:rPr>
              <w:t>1.1</w:t>
            </w:r>
          </w:p>
        </w:tc>
        <w:tc>
          <w:tcPr>
            <w:tcW w:type="dxa" w:w="5102"/>
          </w:tcPr>
          <w:p>
            <w:r>
              <w:rPr>
                <w:b w:val="0"/>
                <w:sz w:val="19"/>
              </w:rPr>
              <w:t>Lot 1 - Échafaudages et installations : Échafaudages de façade, base vie et protections des abords</w:t>
            </w:r>
          </w:p>
        </w:tc>
        <w:tc>
          <w:tcPr>
            <w:tcW w:type="dxa" w:w="794"/>
          </w:tcPr>
          <w:p>
            <w:pPr>
              <w:jc w:val="right"/>
            </w:pPr>
            <w:r>
              <w:rPr>
                <w:b w:val="0"/>
                <w:sz w:val="19"/>
              </w:rPr>
              <w:t>1</w:t>
            </w:r>
          </w:p>
        </w:tc>
        <w:tc>
          <w:tcPr>
            <w:tcW w:type="dxa" w:w="567"/>
          </w:tcPr>
          <w:p>
            <w:r>
              <w:rPr>
                <w:b w:val="0"/>
                <w:sz w:val="19"/>
              </w:rPr>
              <w:t>ens</w:t>
            </w:r>
          </w:p>
        </w:tc>
        <w:tc>
          <w:tcPr>
            <w:tcW w:type="dxa" w:w="1247"/>
          </w:tcPr>
          <w:p>
            <w:pPr>
              <w:jc w:val="right"/>
            </w:pPr>
            <w:r>
              <w:rPr>
                <w:b w:val="0"/>
                <w:sz w:val="19"/>
              </w:rPr>
              <w:t>14600,00 €</w:t>
            </w:r>
          </w:p>
        </w:tc>
        <w:tc>
          <w:tcPr>
            <w:tcW w:type="dxa" w:w="1247"/>
          </w:tcPr>
          <w:p>
            <w:pPr>
              <w:jc w:val="right"/>
            </w:pPr>
            <w:r>
              <w:rPr>
                <w:b w:val="0"/>
                <w:sz w:val="19"/>
              </w:rPr>
              <w:t>14600,00 €</w:t>
            </w:r>
          </w:p>
        </w:tc>
      </w:tr>
      <w:tr>
        <w:tc>
          <w:tcPr>
            <w:tcW w:type="dxa" w:w="680"/>
          </w:tcPr>
          <w:p>
            <w:r>
              <w:rPr>
                <w:b w:val="0"/>
                <w:sz w:val="19"/>
              </w:rPr>
              <w:t>2.1</w:t>
            </w:r>
          </w:p>
        </w:tc>
        <w:tc>
          <w:tcPr>
            <w:tcW w:type="dxa" w:w="5102"/>
          </w:tcPr>
          <w:p>
            <w:r>
              <w:rPr>
                <w:b w:val="0"/>
                <w:sz w:val="19"/>
              </w:rPr>
              <w:t>Lot 2 - Ravalement des façades : Façades sud et est, nez de balcons, sous-faces et soubassements : nettoyage, traitement des fissures et peinture minérale</w:t>
            </w:r>
          </w:p>
        </w:tc>
        <w:tc>
          <w:tcPr>
            <w:tcW w:type="dxa" w:w="794"/>
          </w:tcPr>
          <w:p>
            <w:pPr>
              <w:jc w:val="right"/>
            </w:pPr>
            <w:r>
              <w:rPr>
                <w:b w:val="0"/>
                <w:sz w:val="19"/>
              </w:rPr>
              <w:t>769,00</w:t>
            </w:r>
          </w:p>
        </w:tc>
        <w:tc>
          <w:tcPr>
            <w:tcW w:type="dxa" w:w="567"/>
          </w:tcPr>
          <w:p>
            <w:r>
              <w:rPr>
                <w:b w:val="0"/>
                <w:sz w:val="19"/>
              </w:rPr>
              <w:t>m²</w:t>
            </w:r>
          </w:p>
        </w:tc>
        <w:tc>
          <w:tcPr>
            <w:tcW w:type="dxa" w:w="1247"/>
          </w:tcPr>
          <w:p>
            <w:pPr>
              <w:jc w:val="right"/>
            </w:pPr>
            <w:r>
              <w:rPr>
                <w:b w:val="0"/>
                <w:sz w:val="19"/>
              </w:rPr>
              <w:t>50,00 €</w:t>
            </w:r>
          </w:p>
        </w:tc>
        <w:tc>
          <w:tcPr>
            <w:tcW w:type="dxa" w:w="1247"/>
          </w:tcPr>
          <w:p>
            <w:pPr>
              <w:jc w:val="right"/>
            </w:pPr>
            <w:r>
              <w:rPr>
                <w:b w:val="0"/>
                <w:sz w:val="19"/>
              </w:rPr>
              <w:t>38450,00 €</w:t>
            </w:r>
          </w:p>
        </w:tc>
      </w:tr>
      <w:tr>
        <w:tc>
          <w:tcPr>
            <w:tcW w:type="dxa" w:w="680"/>
          </w:tcPr>
          <w:p>
            <w:r>
              <w:rPr>
                <w:b w:val="0"/>
                <w:sz w:val="19"/>
              </w:rPr>
              <w:t>3.1</w:t>
            </w:r>
          </w:p>
        </w:tc>
        <w:tc>
          <w:tcPr>
            <w:tcW w:type="dxa" w:w="5102"/>
          </w:tcPr>
          <w:p>
            <w:r>
              <w:rPr>
                <w:b w:val="0"/>
                <w:sz w:val="19"/>
              </w:rPr>
              <w:t>Lot 3 - Isolation thermique par l'extérieur : Façades nord et ouest : isolant 140 mm, sous-enduit armé et enduit de finition</w:t>
            </w:r>
          </w:p>
        </w:tc>
        <w:tc>
          <w:tcPr>
            <w:tcW w:type="dxa" w:w="794"/>
          </w:tcPr>
          <w:p>
            <w:pPr>
              <w:jc w:val="right"/>
            </w:pPr>
            <w:r>
              <w:rPr>
                <w:b w:val="0"/>
                <w:sz w:val="19"/>
              </w:rPr>
              <w:t>420,00</w:t>
            </w:r>
          </w:p>
        </w:tc>
        <w:tc>
          <w:tcPr>
            <w:tcW w:type="dxa" w:w="567"/>
          </w:tcPr>
          <w:p>
            <w:r>
              <w:rPr>
                <w:b w:val="0"/>
                <w:sz w:val="19"/>
              </w:rPr>
              <w:t>m²</w:t>
            </w:r>
          </w:p>
        </w:tc>
        <w:tc>
          <w:tcPr>
            <w:tcW w:type="dxa" w:w="1247"/>
          </w:tcPr>
          <w:p>
            <w:pPr>
              <w:jc w:val="right"/>
            </w:pPr>
            <w:r>
              <w:rPr>
                <w:b w:val="0"/>
                <w:sz w:val="19"/>
              </w:rPr>
              <w:t>220,00 €</w:t>
            </w:r>
          </w:p>
        </w:tc>
        <w:tc>
          <w:tcPr>
            <w:tcW w:type="dxa" w:w="1247"/>
          </w:tcPr>
          <w:p>
            <w:pPr>
              <w:jc w:val="right"/>
            </w:pPr>
            <w:r>
              <w:rPr>
                <w:b w:val="0"/>
                <w:sz w:val="19"/>
              </w:rPr>
              <w:t>92400,00 €</w:t>
            </w:r>
          </w:p>
        </w:tc>
      </w:tr>
      <w:tr>
        <w:tc>
          <w:tcPr>
            <w:tcW w:type="dxa" w:w="680"/>
          </w:tcPr>
          <w:p>
            <w:r>
              <w:rPr>
                <w:b w:val="0"/>
                <w:sz w:val="19"/>
              </w:rPr>
              <w:t>4.1</w:t>
            </w:r>
          </w:p>
        </w:tc>
        <w:tc>
          <w:tcPr>
            <w:tcW w:type="dxa" w:w="5102"/>
          </w:tcPr>
          <w:p>
            <w:r>
              <w:rPr>
                <w:b w:val="0"/>
                <w:sz w:val="19"/>
              </w:rPr>
              <w:t>Lot 4 - Menuiseries aluminium des parties communes : Fenêtres aluminium des cages d'escalier (repères C1 à C12)</w:t>
            </w:r>
          </w:p>
        </w:tc>
        <w:tc>
          <w:tcPr>
            <w:tcW w:type="dxa" w:w="794"/>
          </w:tcPr>
          <w:p>
            <w:pPr>
              <w:jc w:val="right"/>
            </w:pPr>
            <w:r>
              <w:rPr>
                <w:b w:val="0"/>
                <w:sz w:val="19"/>
              </w:rPr>
              <w:t>12</w:t>
            </w:r>
          </w:p>
        </w:tc>
        <w:tc>
          <w:tcPr>
            <w:tcW w:type="dxa" w:w="567"/>
          </w:tcPr>
          <w:p>
            <w:r>
              <w:rPr>
                <w:b w:val="0"/>
                <w:sz w:val="19"/>
              </w:rPr>
              <w:t>u</w:t>
            </w:r>
          </w:p>
        </w:tc>
        <w:tc>
          <w:tcPr>
            <w:tcW w:type="dxa" w:w="1247"/>
          </w:tcPr>
          <w:p>
            <w:pPr>
              <w:jc w:val="right"/>
            </w:pPr>
            <w:r>
              <w:rPr>
                <w:b w:val="0"/>
                <w:sz w:val="19"/>
              </w:rPr>
              <w:t>1150,00 €</w:t>
            </w:r>
          </w:p>
        </w:tc>
        <w:tc>
          <w:tcPr>
            <w:tcW w:type="dxa" w:w="1247"/>
          </w:tcPr>
          <w:p>
            <w:pPr>
              <w:jc w:val="right"/>
            </w:pPr>
            <w:r>
              <w:rPr>
                <w:b w:val="0"/>
                <w:sz w:val="19"/>
              </w:rPr>
              <w:t>13800,00 €</w:t>
            </w:r>
          </w:p>
        </w:tc>
      </w:tr>
      <w:tr>
        <w:tc>
          <w:tcPr>
            <w:tcW w:type="dxa" w:w="680"/>
          </w:tcPr>
          <w:p>
            <w:r>
              <w:rPr>
                <w:b w:val="0"/>
                <w:sz w:val="19"/>
              </w:rPr>
              <w:t>4.2</w:t>
            </w:r>
          </w:p>
        </w:tc>
        <w:tc>
          <w:tcPr>
            <w:tcW w:type="dxa" w:w="5102"/>
          </w:tcPr>
          <w:p>
            <w:r>
              <w:rPr>
                <w:b w:val="0"/>
                <w:sz w:val="19"/>
              </w:rPr>
              <w:t>Lot 4 - Menuiseries aluminium des parties communes : Portes d'entrée aluminium des halls A et B</w:t>
            </w:r>
          </w:p>
        </w:tc>
        <w:tc>
          <w:tcPr>
            <w:tcW w:type="dxa" w:w="794"/>
          </w:tcPr>
          <w:p>
            <w:pPr>
              <w:jc w:val="right"/>
            </w:pPr>
            <w:r>
              <w:rPr>
                <w:b w:val="0"/>
                <w:sz w:val="19"/>
              </w:rPr>
              <w:t>2</w:t>
            </w:r>
          </w:p>
        </w:tc>
        <w:tc>
          <w:tcPr>
            <w:tcW w:type="dxa" w:w="567"/>
          </w:tcPr>
          <w:p>
            <w:r>
              <w:rPr>
                <w:b w:val="0"/>
                <w:sz w:val="19"/>
              </w:rPr>
              <w:t>u</w:t>
            </w:r>
          </w:p>
        </w:tc>
        <w:tc>
          <w:tcPr>
            <w:tcW w:type="dxa" w:w="1247"/>
          </w:tcPr>
          <w:p>
            <w:pPr>
              <w:jc w:val="right"/>
            </w:pPr>
            <w:r>
              <w:rPr>
                <w:b w:val="0"/>
                <w:sz w:val="19"/>
              </w:rPr>
              <w:t>4300,00 €</w:t>
            </w:r>
          </w:p>
        </w:tc>
        <w:tc>
          <w:tcPr>
            <w:tcW w:type="dxa" w:w="1247"/>
          </w:tcPr>
          <w:p>
            <w:pPr>
              <w:jc w:val="right"/>
            </w:pPr>
            <w:r>
              <w:rPr>
                <w:b w:val="0"/>
                <w:sz w:val="19"/>
              </w:rPr>
              <w:t>8600,00 €</w:t>
            </w:r>
          </w:p>
        </w:tc>
      </w:tr>
      <w:tr>
        <w:tc>
          <w:tcPr>
            <w:tcW w:type="dxa" w:w="680"/>
          </w:tcPr>
          <w:p>
            <w:r>
              <w:rPr>
                <w:b w:val="0"/>
                <w:sz w:val="19"/>
              </w:rPr>
              <w:t>5.1</w:t>
            </w:r>
          </w:p>
        </w:tc>
        <w:tc>
          <w:tcPr>
            <w:tcW w:type="dxa" w:w="5102"/>
          </w:tcPr>
          <w:p>
            <w:r>
              <w:rPr>
                <w:b w:val="0"/>
                <w:sz w:val="19"/>
              </w:rPr>
              <w:t>Lot 5 - Équipements électriques de façade : Dépose et repose des luminaires de façade et des platines d'interphone</w:t>
            </w:r>
          </w:p>
        </w:tc>
        <w:tc>
          <w:tcPr>
            <w:tcW w:type="dxa" w:w="794"/>
          </w:tcPr>
          <w:p>
            <w:pPr>
              <w:jc w:val="right"/>
            </w:pPr>
            <w:r>
              <w:rPr>
                <w:b w:val="0"/>
                <w:sz w:val="19"/>
              </w:rPr>
              <w:t>1</w:t>
            </w:r>
          </w:p>
        </w:tc>
        <w:tc>
          <w:tcPr>
            <w:tcW w:type="dxa" w:w="567"/>
          </w:tcPr>
          <w:p>
            <w:r>
              <w:rPr>
                <w:b w:val="0"/>
                <w:sz w:val="19"/>
              </w:rPr>
              <w:t>ens</w:t>
            </w:r>
          </w:p>
        </w:tc>
        <w:tc>
          <w:tcPr>
            <w:tcW w:type="dxa" w:w="1247"/>
          </w:tcPr>
          <w:p>
            <w:pPr>
              <w:jc w:val="right"/>
            </w:pPr>
            <w:r>
              <w:rPr>
                <w:b w:val="0"/>
                <w:sz w:val="19"/>
              </w:rPr>
              <w:t>9800,00 €</w:t>
            </w:r>
          </w:p>
        </w:tc>
        <w:tc>
          <w:tcPr>
            <w:tcW w:type="dxa" w:w="1247"/>
          </w:tcPr>
          <w:p>
            <w:pPr>
              <w:jc w:val="right"/>
            </w:pPr>
            <w:r>
              <w:rPr>
                <w:b w:val="0"/>
                <w:sz w:val="19"/>
              </w:rPr>
              <w:t>9800,00 €</w:t>
            </w:r>
          </w:p>
        </w:tc>
      </w:tr>
      <w:tr>
        <w:tc>
          <w:tcPr>
            <w:tcW w:type="dxa" w:w="680"/>
          </w:tcPr>
          <w:p>
            <w:r>
              <w:rPr>
                <w:b/>
                <w:sz w:val="19"/>
              </w:rPr>
            </w:r>
          </w:p>
        </w:tc>
        <w:tc>
          <w:tcPr>
            <w:tcW w:type="dxa" w:w="5102"/>
          </w:tcPr>
          <w:p>
            <w:r>
              <w:rPr>
                <w:b/>
                <w:sz w:val="19"/>
              </w:rPr>
              <w:t>Total HT</w:t>
            </w:r>
          </w:p>
        </w:tc>
        <w:tc>
          <w:tcPr>
            <w:tcW w:type="dxa" w:w="794"/>
          </w:tcPr>
          <w:p>
            <w:pPr>
              <w:jc w:val="right"/>
            </w:pPr>
            <w:r>
              <w:rPr>
                <w:b/>
                <w:sz w:val="19"/>
              </w:rPr>
            </w:r>
          </w:p>
        </w:tc>
        <w:tc>
          <w:tcPr>
            <w:tcW w:type="dxa" w:w="567"/>
          </w:tcPr>
          <w:p>
            <w:r>
              <w:rPr>
                <w:b/>
                <w:sz w:val="19"/>
              </w:rPr>
            </w:r>
          </w:p>
        </w:tc>
        <w:tc>
          <w:tcPr>
            <w:tcW w:type="dxa" w:w="1247"/>
          </w:tcPr>
          <w:p>
            <w:pPr>
              <w:jc w:val="right"/>
            </w:pPr>
            <w:r>
              <w:rPr>
                <w:b/>
                <w:sz w:val="19"/>
              </w:rPr>
            </w:r>
          </w:p>
        </w:tc>
        <w:tc>
          <w:tcPr>
            <w:tcW w:type="dxa" w:w="1247"/>
          </w:tcPr>
          <w:p>
            <w:pPr>
              <w:jc w:val="right"/>
            </w:pPr>
            <w:r>
              <w:rPr>
                <w:b/>
                <w:sz w:val="19"/>
              </w:rPr>
              <w:t>177650,00 €</w:t>
            </w:r>
          </w:p>
        </w:tc>
      </w:tr>
      <w:tr>
        <w:tc>
          <w:tcPr>
            <w:tcW w:type="dxa" w:w="680"/>
          </w:tcPr>
          <w:p>
            <w:r>
              <w:rPr>
                <w:b w:val="0"/>
                <w:sz w:val="19"/>
              </w:rPr>
            </w:r>
          </w:p>
        </w:tc>
        <w:tc>
          <w:tcPr>
            <w:tcW w:type="dxa" w:w="5102"/>
          </w:tcPr>
          <w:p>
            <w:r>
              <w:rPr>
                <w:b w:val="0"/>
                <w:sz w:val="19"/>
              </w:rPr>
              <w:t>TVA 10 %</w:t>
            </w:r>
          </w:p>
        </w:tc>
        <w:tc>
          <w:tcPr>
            <w:tcW w:type="dxa" w:w="794"/>
          </w:tcPr>
          <w:p>
            <w:pPr>
              <w:jc w:val="right"/>
            </w:pPr>
            <w:r>
              <w:rPr>
                <w:b w:val="0"/>
                <w:sz w:val="19"/>
              </w:rPr>
            </w:r>
          </w:p>
        </w:tc>
        <w:tc>
          <w:tcPr>
            <w:tcW w:type="dxa" w:w="567"/>
          </w:tcPr>
          <w:p>
            <w:r>
              <w:rPr>
                <w:b w:val="0"/>
                <w:sz w:val="19"/>
              </w:rPr>
            </w:r>
          </w:p>
        </w:tc>
        <w:tc>
          <w:tcPr>
            <w:tcW w:type="dxa" w:w="1247"/>
          </w:tcPr>
          <w:p>
            <w:pPr>
              <w:jc w:val="right"/>
            </w:pPr>
            <w:r>
              <w:rPr>
                <w:b w:val="0"/>
                <w:sz w:val="19"/>
              </w:rPr>
            </w:r>
          </w:p>
        </w:tc>
        <w:tc>
          <w:tcPr>
            <w:tcW w:type="dxa" w:w="1247"/>
          </w:tcPr>
          <w:p>
            <w:pPr>
              <w:jc w:val="right"/>
            </w:pPr>
            <w:r>
              <w:rPr>
                <w:b w:val="0"/>
                <w:sz w:val="19"/>
              </w:rPr>
              <w:t>17765,00 €</w:t>
            </w:r>
          </w:p>
        </w:tc>
      </w:tr>
      <w:tr>
        <w:tc>
          <w:tcPr>
            <w:tcW w:type="dxa" w:w="680"/>
          </w:tcPr>
          <w:p>
            <w:r>
              <w:rPr>
                <w:b/>
                <w:sz w:val="19"/>
              </w:rPr>
            </w:r>
          </w:p>
        </w:tc>
        <w:tc>
          <w:tcPr>
            <w:tcW w:type="dxa" w:w="5102"/>
          </w:tcPr>
          <w:p>
            <w:r>
              <w:rPr>
                <w:b/>
                <w:sz w:val="19"/>
              </w:rPr>
              <w:t>Total TTC</w:t>
            </w:r>
          </w:p>
        </w:tc>
        <w:tc>
          <w:tcPr>
            <w:tcW w:type="dxa" w:w="794"/>
          </w:tcPr>
          <w:p>
            <w:pPr>
              <w:jc w:val="right"/>
            </w:pPr>
            <w:r>
              <w:rPr>
                <w:b/>
                <w:sz w:val="19"/>
              </w:rPr>
            </w:r>
          </w:p>
        </w:tc>
        <w:tc>
          <w:tcPr>
            <w:tcW w:type="dxa" w:w="567"/>
          </w:tcPr>
          <w:p>
            <w:r>
              <w:rPr>
                <w:b/>
                <w:sz w:val="19"/>
              </w:rPr>
            </w:r>
          </w:p>
        </w:tc>
        <w:tc>
          <w:tcPr>
            <w:tcW w:type="dxa" w:w="1247"/>
          </w:tcPr>
          <w:p>
            <w:pPr>
              <w:jc w:val="right"/>
            </w:pPr>
            <w:r>
              <w:rPr>
                <w:b/>
                <w:sz w:val="19"/>
              </w:rPr>
            </w:r>
          </w:p>
        </w:tc>
        <w:tc>
          <w:tcPr>
            <w:tcW w:type="dxa" w:w="1247"/>
          </w:tcPr>
          <w:p>
            <w:pPr>
              <w:jc w:val="right"/>
            </w:pPr>
            <w:r>
              <w:rPr>
                <w:b/>
                <w:sz w:val="19"/>
              </w:rPr>
              <w:t>195415,00 €</w:t>
            </w:r>
          </w:p>
        </w:tc>
      </w:tr>
    </w:tbl>
    <w:p>
      <w:pPr>
        <w:pStyle w:val="Heading1"/>
      </w:pPr>
      <w:r>
        <w:t>Article 3 - Prix</w:t>
      </w:r>
    </w:p>
    <w:p>
      <w:r>
        <w:rPr>
          <w:b w:val="0"/>
          <w:i w:val="0"/>
        </w:rPr>
        <w:t>Le marché est conclu à prix global et forfaitaire de 177650,00 € HT, soit 195415,00 € TTC au taux de TVA de 10 %.</w:t>
      </w:r>
    </w:p>
    <w:p>
      <w:pPr>
        <w:pStyle w:val="Heading1"/>
      </w:pPr>
      <w:r>
        <w:t>Article 4 - Délais</w:t>
      </w:r>
    </w:p>
    <w:p>
      <w:r>
        <w:rPr>
          <w:b w:val="0"/>
          <w:i w:val="0"/>
        </w:rPr>
        <w:t>Les travaux débutent le 01/12/2025. Le délai d'exécution est de 17 semaines ; l'achèvement des travaux est fixé au 27/03/2026.</w:t>
      </w:r>
    </w:p>
    <w:p>
      <w:pPr>
        <w:pStyle w:val="Heading1"/>
      </w:pPr>
      <w:r>
        <w:t>Article 5 - Pénalités de retard</w:t>
      </w:r>
    </w:p>
    <w:p>
      <w:r>
        <w:rPr>
          <w:b w:val="0"/>
          <w:i w:val="0"/>
        </w:rPr>
        <w:t>En cas de retard sur la date d'achèvement, l'entrepreneur encourt des pénalités de 1/1000 du montant du marché HT par jour calendaire de retard, plafonnées à 5 % du montant du marché HT.</w:t>
      </w:r>
    </w:p>
    <w:p>
      <w:pPr>
        <w:pStyle w:val="Heading1"/>
      </w:pPr>
      <w:r>
        <w:t>Article 6 - Paiement</w:t>
      </w:r>
    </w:p>
    <w:p>
      <w:r>
        <w:rPr>
          <w:b w:val="0"/>
          <w:i w:val="0"/>
        </w:rPr>
        <w:t>Les travaux sont réglés sur situations mensuelles établies à la fin de chaque mois, visées par le maître d'œuvre sous 7 jours et payées dans les 30 jours de leur réception par le maître d'ouvrage.</w:t>
      </w:r>
    </w:p>
    <w:p>
      <w:pPr>
        <w:pStyle w:val="Heading1"/>
      </w:pPr>
      <w:r>
        <w:t>Article 7 - Retenue de garantie</w:t>
      </w:r>
    </w:p>
    <w:p>
      <w:r>
        <w:rPr>
          <w:b w:val="0"/>
          <w:i w:val="0"/>
        </w:rPr>
        <w:t>Une retenue de garantie de 5 % est opérée sur le montant TTC de chaque situation. Elle est libérée à l'expiration du délai d'un an à compter de la date de la réception, sauf opposition motivée du maître d'ouvrage, notifiée à l'entrepreneur, pour des réserves non levées. Elle peut être remplacée par une caution bancaire.</w:t>
      </w:r>
    </w:p>
    <w:p>
      <w:pPr>
        <w:pStyle w:val="Heading1"/>
      </w:pPr>
      <w:r>
        <w:t>Article 8 - Sous-traitance</w:t>
      </w:r>
    </w:p>
    <w:p>
      <w:r>
        <w:rPr>
          <w:b w:val="0"/>
          <w:i w:val="0"/>
        </w:rPr>
        <w:t>Le lot 5 est sous-traité à Adatum Électricité, sous réserve de l'acceptation du sous-traitant et de l'agrément de ses conditions de paiement par le maître d'ouvrage.</w:t>
      </w:r>
    </w:p>
    <w:p>
      <w:pPr>
        <w:pStyle w:val="Heading1"/>
      </w:pPr>
      <w:r>
        <w:t>Article 9 - Modifications</w:t>
      </w:r>
    </w:p>
    <w:p>
      <w:r>
        <w:rPr>
          <w:b w:val="0"/>
          <w:i w:val="0"/>
        </w:rPr>
        <w:t>Toute modification des travaux fait l'objet d'un ordre de service écrit du maître d'œuvre, contresigné par le maître d'ouvrage, qui en fixe le prix et l'incidence sur le délai.</w:t>
      </w:r>
    </w:p>
    <w:p>
      <w:pPr>
        <w:pStyle w:val="Heading1"/>
      </w:pPr>
      <w:r>
        <w:t>Article 10 - Réception</w:t>
      </w:r>
    </w:p>
    <w:p>
      <w:r>
        <w:rPr>
          <w:b w:val="0"/>
          <w:i w:val="0"/>
        </w:rPr>
        <w:t>La réception est prononcée par le maître d'ouvrage, à la demande de l'entrepreneur, après les opérations préalables à la réception organisées par le maître d'œuvre. Les réserves éventuelles sont levées dans le délai fixé au procès-verbal de réception.</w:t>
      </w:r>
    </w:p>
    <w:p>
      <w:pPr>
        <w:pStyle w:val="Heading1"/>
      </w:pPr>
      <w:r>
        <w:t>Article 11 - Assurances</w:t>
      </w:r>
    </w:p>
    <w:p>
      <w:r>
        <w:rPr>
          <w:b w:val="0"/>
          <w:i w:val="0"/>
        </w:rPr>
        <w:t>L'entrepreneur justifie d'une assurance de responsabilité civile professionnelle et d'une assurance de responsabilité décennale en cours de validité.</w:t>
      </w:r>
    </w:p>
    <w:p>
      <w:r>
        <w:rPr>
          <w:b w:val="0"/>
          <w:i w:val="0"/>
        </w:rPr>
        <w:t>Fait à Valbrise, le 20/11/2025, en trois exemplaires originaux.</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b/>
                <w:sz w:val="19"/>
              </w:rPr>
              <w:t>Pour le maître d'ouvrage</w:t>
            </w:r>
          </w:p>
        </w:tc>
        <w:tc>
          <w:tcPr>
            <w:tcW w:type="dxa" w:w="3213"/>
          </w:tcPr>
          <w:p>
            <w:r>
              <w:rPr>
                <w:b/>
                <w:sz w:val="19"/>
              </w:rPr>
              <w:t>Pour l'entrepreneur</w:t>
            </w:r>
          </w:p>
        </w:tc>
        <w:tc>
          <w:tcPr>
            <w:tcW w:type="dxa" w:w="3213"/>
          </w:tcPr>
          <w:p>
            <w:r>
              <w:rPr>
                <w:b/>
                <w:sz w:val="19"/>
              </w:rPr>
              <w:t>Vu, le maître d'œuvre</w:t>
            </w:r>
          </w:p>
        </w:tc>
      </w:tr>
      <w:tr>
        <w:tc>
          <w:tcPr>
            <w:tcW w:type="dxa" w:w="3213"/>
          </w:tcPr>
          <w:p>
            <w:r>
              <w:rPr>
                <w:b w:val="0"/>
                <w:sz w:val="19"/>
              </w:rPr>
              <w:t>Syndicat des copropriétaires de la résidence Les Nacrines</w:t>
              <w:br/>
              <w:t>par son syndic Proseware Gestion</w:t>
              <w:br/>
              <w:t>Clarisse Monfreuil, gestionnaire de copropriété</w:t>
              <w:br/>
              <w:t>Lu et approuvé, signé le 20/11/2025</w:t>
            </w:r>
          </w:p>
        </w:tc>
        <w:tc>
          <w:tcPr>
            <w:tcW w:type="dxa" w:w="3213"/>
          </w:tcPr>
          <w:p>
            <w:r>
              <w:rPr>
                <w:b w:val="0"/>
                <w:sz w:val="19"/>
              </w:rPr>
              <w:t>Lamna Bâtiment</w:t>
              <w:br/>
              <w:t>Bertrand Sauzède, gérant</w:t>
              <w:br/>
              <w:t>Lu et approuvé, signé le 20/11/2025</w:t>
            </w:r>
          </w:p>
        </w:tc>
        <w:tc>
          <w:tcPr>
            <w:tcW w:type="dxa" w:w="3213"/>
          </w:tcPr>
          <w:p>
            <w:r>
              <w:rPr>
                <w:b w:val="0"/>
                <w:sz w:val="19"/>
              </w:rPr>
              <w:t>Atelier Fabrikam</w:t>
              <w:br/>
              <w:t>Hélène Vasseroux, architecte</w:t>
            </w:r>
          </w:p>
        </w:tc>
      </w:tr>
    </w:tbl>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FICTIONAL - NOT FOR OPERATIONAL USE  |  Marché de travaux - Résidence Les Nacrines, Valbrise</w:t>
    </w:r>
    <w:r>
      <w:rPr>
        <w:sz w:val="14"/>
      </w:rPr>
      <w:br/>
      <w:t>Lamna Bâtiment - SIRET 000 000 000 00000 - RCS 000 000 000 - TVA FR00000000000 (identifiants fictifs)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Lamna Bâtiment - Marché de travaux du 20/11/2025  |  FICTIONAL - NOT FOR OPERATIONAL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DocWiki sample generator</Application>
  <Company>Lamna Bâtiment</Company>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Marché de travaux - Résidence Les Nacrines, ravalement, isolation et menuiseries (signé)</dc:title>
  <dc:subject>FICTIONAL - NOT FOR OPERATIONAL USE</dc:subject>
  <dc:creator>DocWiki sample generator</dc:creator>
  <cp:keywords>marche fictional sample</cp:keywords>
  <dc:description>FICTIONAL - NOT FOR OPERATIONAL USE</dc:description>
  <cp:lastModifiedBy>DocWiki sample generator</cp:lastModifiedBy>
  <cp:revision>1</cp:revision>
  <dc:language>fr-FR</dc:language>
  <dcterms:created xsi:type="dcterms:W3CDTF">2025-11-20T08:30:00Z</dcterms:created>
  <dcterms:modified xsi:type="dcterms:W3CDTF">2025-11-20T16:45:00Z</dcterms:modified>
</cp:coreProperties>
</file>