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 de sous-traitance - Lot 5, résidence Les Nacrines</w:t>
      </w:r>
    </w:p>
    <w:p>
      <w:r>
        <w:rPr>
          <w:b/>
          <w:i w:val="0"/>
        </w:rPr>
        <w:t>Entre les soussignés :</w:t>
      </w:r>
    </w:p>
    <w:p>
      <w:r>
        <w:rPr>
          <w:b w:val="0"/>
          <w:i w:val="0"/>
        </w:rPr>
        <w:t>Lamna Bâtiment, 4 rue des Artisans, Valbrise, représentée par M. Bertrand Sauzède, gérant, ci-après « l'entrepreneur principal »</w:t>
      </w:r>
    </w:p>
    <w:p>
      <w:r>
        <w:rPr>
          <w:b w:val="0"/>
          <w:i w:val="0"/>
        </w:rPr>
        <w:t>et</w:t>
      </w:r>
    </w:p>
    <w:p>
      <w:r>
        <w:rPr>
          <w:b w:val="0"/>
          <w:i w:val="0"/>
        </w:rPr>
        <w:t>Adatum Électricité, représentée par M. Damien Pradère, ci-après « le sous-traitant »</w:t>
      </w:r>
    </w:p>
    <w:p>
      <w:pPr>
        <w:pStyle w:val="Heading1"/>
      </w:pPr>
      <w:r>
        <w:t>Article 1 - Objet</w:t>
      </w:r>
    </w:p>
    <w:p>
      <w:r>
        <w:rPr>
          <w:b w:val="0"/>
          <w:i w:val="0"/>
        </w:rPr>
        <w:t>Le sous-traitant exécute le lot 5 du marché de travaux du 20/11/2025 de la résidence Les Nacrines (maître d'ouvrage : le syndicat des copropriétaires, représenté par son syndic Proseware Gestion ; maître d'œuvre : Atelier Fabrikam) : dépose et repose des luminaires de façade et des platines d'interphone.</w:t>
      </w:r>
    </w:p>
    <w:p>
      <w:pPr>
        <w:pStyle w:val="Heading1"/>
      </w:pPr>
      <w:r>
        <w:t>Article 2 - Prix</w:t>
      </w:r>
    </w:p>
    <w:p>
      <w:r>
        <w:rPr>
          <w:b w:val="0"/>
          <w:i w:val="0"/>
        </w:rPr>
        <w:t>Le prix forfaitaire des travaux sous-traités est de 8400,00 € HT. La TVA est autoliquidée par l'entrepreneur principal.</w:t>
      </w:r>
    </w:p>
    <w:p>
      <w:pPr>
        <w:pStyle w:val="Heading1"/>
      </w:pPr>
      <w:r>
        <w:t>Article 3 - Délais</w:t>
      </w:r>
    </w:p>
    <w:p>
      <w:r>
        <w:rPr>
          <w:b w:val="0"/>
          <w:i w:val="0"/>
        </w:rPr>
        <w:t>Le sous-traitant intervient du 02/02/2026 au 27/03/2026.</w:t>
      </w:r>
    </w:p>
    <w:p>
      <w:pPr>
        <w:pStyle w:val="Heading1"/>
      </w:pPr>
      <w:r>
        <w:t>Article 4 - Paiement</w:t>
      </w:r>
    </w:p>
    <w:p>
      <w:r>
        <w:rPr>
          <w:b w:val="0"/>
          <w:i w:val="0"/>
        </w:rPr>
        <w:t>Les travaux sont réglés sur situations mensuelles, payées à 30 jours fin de mois après leur visa par l'entrepreneur principal. Une retenue de garantie de 5 % est appliquée.</w:t>
      </w:r>
    </w:p>
    <w:p>
      <w:pPr>
        <w:pStyle w:val="Heading1"/>
      </w:pPr>
      <w:r>
        <w:t>Article 5 - Garantie de paiement</w:t>
      </w:r>
    </w:p>
    <w:p>
      <w:r>
        <w:rPr>
          <w:b w:val="0"/>
          <w:i w:val="0"/>
        </w:rPr>
        <w:t>Le paiement des sommes dues au sous-traitant est garanti par une caution personnelle et solidaire, conformément à la loi du 31 décembre 1975 relative à la sous-traitance.</w:t>
      </w:r>
    </w:p>
    <w:p>
      <w:pPr>
        <w:pStyle w:val="Heading1"/>
      </w:pPr>
      <w:r>
        <w:t>Article 6 - Obligation de vigilance</w:t>
      </w:r>
    </w:p>
    <w:p>
      <w:r>
        <w:rPr>
          <w:b w:val="0"/>
          <w:i w:val="0"/>
        </w:rPr>
        <w:t>Le sous-traitant remet à la signature du contrat, puis tous les six mois jusqu'à la fin de son intervention, une attestation de vigilance de moins de six mois délivrée par l'organisme de recouvrement des cotisations sociales et un extrait d'immatriculation de moins de trois mois.</w:t>
      </w:r>
    </w:p>
    <w:p>
      <w:pPr>
        <w:pStyle w:val="Heading1"/>
      </w:pPr>
      <w:r>
        <w:t>Article 7 - Assurances</w:t>
      </w:r>
    </w:p>
    <w:p>
      <w:r>
        <w:rPr>
          <w:b w:val="0"/>
          <w:i w:val="0"/>
        </w:rPr>
        <w:t>Le sous-traitant justifie d'une assurance de responsabilité civile professionnelle et d'une assurance de responsabilité décennale couvrant les travaux sous-traités.</w:t>
      </w:r>
    </w:p>
    <w:p>
      <w:pPr>
        <w:pStyle w:val="Heading1"/>
      </w:pPr>
      <w:r>
        <w:t>Article 8 - Acceptation par le maître d'ouvrage</w:t>
      </w:r>
    </w:p>
    <w:p>
      <w:r>
        <w:rPr>
          <w:b w:val="0"/>
          <w:i w:val="0"/>
        </w:rPr>
        <w:t>Le présent contrat ne produit ses effets qu'après l'acceptation du sous-traitant et l'agrément de ses conditions de paiement par le maître d'ouvrage, au moyen d'une déclaration de sous-traitance.</w:t>
      </w:r>
    </w:p>
    <w:p>
      <w:r>
        <w:rPr>
          <w:b w:val="0"/>
          <w:i w:val="0"/>
        </w:rPr>
        <w:t>Fait à Valbrise, le 10/12/2025, en deux exemplaires originaux.</w:t>
      </w:r>
    </w:p>
    <w:tbl>
      <w:tblPr>
        <w:tblStyle w:val="TableGrid"/>
        <w:tblW w:type="auto" w:w="0"/>
        <w:jc w:val="center"/>
        <w:tblLook w:firstColumn="1" w:firstRow="1" w:lastColumn="0" w:lastRow="0" w:noHBand="0" w:noVBand="1" w:val="04A0"/>
      </w:tblPr>
      <w:tblGrid>
        <w:gridCol w:w="4819"/>
        <w:gridCol w:w="4819"/>
      </w:tblGrid>
      <w:tr>
        <w:tc>
          <w:tcPr>
            <w:tcW w:type="dxa" w:w="4819"/>
          </w:tcPr>
          <w:p>
            <w:r>
              <w:rPr>
                <w:b/>
                <w:sz w:val="19"/>
              </w:rPr>
              <w:t>Pour l'entrepreneur principal</w:t>
            </w:r>
          </w:p>
        </w:tc>
        <w:tc>
          <w:tcPr>
            <w:tcW w:type="dxa" w:w="4819"/>
          </w:tcPr>
          <w:p>
            <w:r>
              <w:rPr>
                <w:b/>
                <w:sz w:val="19"/>
              </w:rPr>
              <w:t>Pour le sous-traitant</w:t>
            </w:r>
          </w:p>
        </w:tc>
      </w:tr>
      <w:tr>
        <w:tc>
          <w:tcPr>
            <w:tcW w:type="dxa" w:w="4819"/>
          </w:tcPr>
          <w:p>
            <w:r>
              <w:rPr>
                <w:b w:val="0"/>
                <w:sz w:val="19"/>
              </w:rPr>
              <w:t>Lamna Bâtiment</w:t>
              <w:br/>
              <w:t>Bertrand Sauzède, gérant</w:t>
              <w:br/>
              <w:t>Lu et approuvé, signé le 10/12/2025</w:t>
            </w:r>
          </w:p>
        </w:tc>
        <w:tc>
          <w:tcPr>
            <w:tcW w:type="dxa" w:w="4819"/>
          </w:tcPr>
          <w:p>
            <w:r>
              <w:rPr>
                <w:b w:val="0"/>
                <w:sz w:val="19"/>
              </w:rPr>
              <w:t>Adatum Électricité</w:t>
              <w:br/>
              <w:t>Damien Pradère</w:t>
              <w:br/>
              <w:t>Lu et approuvé, signé le 10/12/2025</w:t>
            </w:r>
          </w:p>
        </w:tc>
      </w:tr>
    </w:tbl>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FICTIONAL - NOT FOR OPERATIONAL USE  |  Sous-traitance du lot 5 - Résidence Les Nacrines, Valbrise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Lamna Bâtiment - Contrat de sous-traitance du 10/12/2025  |  FICTIONAL - NOT FOR OPERATIONAL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DocWiki sample generator</Application>
  <Company>Lamna Bâtiment</Company>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sous-traitance - Lot 5, résidence Les Nacrines (Adatum Électricité)</dc:title>
  <dc:subject>FICTIONAL - NOT FOR OPERATIONAL USE</dc:subject>
  <dc:creator>DocWiki sample generator</dc:creator>
  <cp:keywords>sous-traitance fictional sample</cp:keywords>
  <dc:description>FICTIONAL - NOT FOR OPERATIONAL USE</dc:description>
  <cp:lastModifiedBy>DocWiki sample generator</cp:lastModifiedBy>
  <cp:revision>1</cp:revision>
  <dc:language>fr-FR</dc:language>
  <dcterms:created xsi:type="dcterms:W3CDTF">2025-12-10T08:30:00Z</dcterms:created>
  <dcterms:modified xsi:type="dcterms:W3CDTF">2025-12-10T16:45:00Z</dcterms:modified>
</cp:coreProperties>
</file>