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EİS</w:t>
            </w:r>
            <w:r>
              <w:rPr>
                <w:rFonts w:ascii="Arial" w:hAnsi="Arial"/>
                <w:color w:val="000000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8"/>
              </w:rPr>
              <w:t>ECZACIBAŞI İLAÇ SANAYİ VE TİCARET A.Ş.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134"/>
        <w:gridCol w:w="6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24.10.1951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i/>
                <w:caps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 Pharmaceuticals, Health Care And Household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Products And Veterinary Products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Büyükdere CadDESİ</w:t>
            </w:r>
            <w:r>
              <w:rPr>
                <w:rFonts w:ascii="Arial" w:hAnsi="Arial"/>
                <w:color w:val="000000"/>
                <w:sz w:val="16"/>
              </w:rPr>
              <w:t xml:space="preserve"> NO: 185 80710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</w:t>
            </w:r>
            <w:r>
              <w:rPr>
                <w:rFonts w:ascii="Arial" w:hAnsi="Arial"/>
                <w:color w:val="000000"/>
                <w:sz w:val="16"/>
              </w:rPr>
              <w:t>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AYHAN SUSKUN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SOTİRİ TATARİDİS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( 212 ) 281 08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( 212 ) 264 58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807 ( 31.12.1998 İTİBARİYLE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</w:t>
            </w:r>
            <w:r>
              <w:rPr>
                <w:rFonts w:ascii="Arial" w:hAnsi="Arial"/>
                <w:b/>
                <w:color w:val="000000"/>
                <w:sz w:val="16"/>
              </w:rPr>
              <w:t>ees)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VE 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İLAÇ VE KİMYA ENDÜSTRİSİ İŞV</w:t>
            </w:r>
            <w:r>
              <w:rPr>
                <w:rFonts w:ascii="Arial" w:hAnsi="Arial"/>
                <w:color w:val="000000"/>
                <w:sz w:val="16"/>
              </w:rPr>
              <w:t>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3.045.600.000.000.-TL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148" w:type="dxa"/>
          </w:tcPr>
          <w:p w:rsidR="00000000" w:rsidRDefault="003C190E">
            <w:pPr>
              <w:rPr>
                <w:rFonts w:ascii="Arial" w:hAnsi="Arial"/>
                <w:i/>
                <w:caps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 National )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3686"/>
        <w:gridCol w:w="918"/>
        <w:gridCol w:w="2662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AMPUL (1000 ADET)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FLAKON (1000 ADET)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Ampoules (1000 units) 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.)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Vials ( 1000 units)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686" w:type="dxa"/>
          </w:tcPr>
          <w:p w:rsidR="00000000" w:rsidRDefault="003C190E">
            <w:pPr>
              <w:ind w:right="-1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43.801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662" w:type="dxa"/>
          </w:tcPr>
          <w:p w:rsidR="00000000" w:rsidRDefault="003C190E">
            <w:pPr>
              <w:ind w:right="-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14.290</w:t>
            </w:r>
          </w:p>
        </w:tc>
        <w:tc>
          <w:tcPr>
            <w:tcW w:w="1010" w:type="dxa"/>
          </w:tcPr>
          <w:p w:rsidR="00000000" w:rsidRDefault="003C190E">
            <w:pPr>
              <w:ind w:right="-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686" w:type="dxa"/>
          </w:tcPr>
          <w:p w:rsidR="00000000" w:rsidRDefault="003C190E">
            <w:pPr>
              <w:ind w:right="-1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36.728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2662" w:type="dxa"/>
          </w:tcPr>
          <w:p w:rsidR="00000000" w:rsidRDefault="003C190E">
            <w:pPr>
              <w:ind w:right="-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16.369</w:t>
            </w:r>
          </w:p>
        </w:tc>
        <w:tc>
          <w:tcPr>
            <w:tcW w:w="1010" w:type="dxa"/>
          </w:tcPr>
          <w:p w:rsidR="00000000" w:rsidRDefault="003C190E">
            <w:pPr>
              <w:ind w:right="-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900"/>
        <w:gridCol w:w="3686"/>
        <w:gridCol w:w="918"/>
        <w:gridCol w:w="2662"/>
        <w:gridCol w:w="10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TABLET (MİLYON ADET)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DRAJE (MİLYON ADET) 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Tablets (million units)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2662" w:type="dxa"/>
          </w:tcPr>
          <w:p w:rsidR="00000000" w:rsidRDefault="003C19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Coated Tablets (million units)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686" w:type="dxa"/>
          </w:tcPr>
          <w:p w:rsidR="00000000" w:rsidRDefault="003C190E">
            <w:pPr>
              <w:ind w:right="-11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910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  <w:tc>
          <w:tcPr>
            <w:tcW w:w="2662" w:type="dxa"/>
          </w:tcPr>
          <w:p w:rsidR="00000000" w:rsidRDefault="003C190E">
            <w:pPr>
              <w:ind w:right="-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</w:t>
            </w:r>
          </w:p>
        </w:tc>
        <w:tc>
          <w:tcPr>
            <w:tcW w:w="1010" w:type="dxa"/>
          </w:tcPr>
          <w:p w:rsidR="00000000" w:rsidRDefault="003C190E">
            <w:pPr>
              <w:ind w:right="-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686" w:type="dxa"/>
          </w:tcPr>
          <w:p w:rsidR="00000000" w:rsidRDefault="003C190E">
            <w:pPr>
              <w:ind w:right="-11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886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  <w:tc>
          <w:tcPr>
            <w:tcW w:w="2662" w:type="dxa"/>
          </w:tcPr>
          <w:p w:rsidR="00000000" w:rsidRDefault="003C190E">
            <w:pPr>
              <w:ind w:right="-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</w:t>
            </w:r>
          </w:p>
        </w:tc>
        <w:tc>
          <w:tcPr>
            <w:tcW w:w="1010" w:type="dxa"/>
          </w:tcPr>
          <w:p w:rsidR="00000000" w:rsidRDefault="003C190E">
            <w:pPr>
              <w:ind w:right="-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</w:tbl>
    <w:p w:rsidR="00000000" w:rsidRDefault="003C190E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3686"/>
        <w:gridCol w:w="918"/>
        <w:gridCol w:w="2662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KAPSÜL (MİLYON ADET)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POMAT (TON)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686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Capsules (milion units)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Ointment and Creams (tons)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686" w:type="dxa"/>
          </w:tcPr>
          <w:p w:rsidR="00000000" w:rsidRDefault="003C190E">
            <w:pPr>
              <w:ind w:right="-1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918" w:type="dxa"/>
          </w:tcPr>
          <w:p w:rsidR="00000000" w:rsidRDefault="003C190E">
            <w:pPr>
              <w:ind w:right="-18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662" w:type="dxa"/>
          </w:tcPr>
          <w:p w:rsidR="00000000" w:rsidRDefault="003C190E">
            <w:pPr>
              <w:ind w:right="-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3.347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686" w:type="dxa"/>
          </w:tcPr>
          <w:p w:rsidR="00000000" w:rsidRDefault="003C190E">
            <w:pPr>
              <w:ind w:right="-1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918" w:type="dxa"/>
          </w:tcPr>
          <w:p w:rsidR="00000000" w:rsidRDefault="003C190E">
            <w:pPr>
              <w:ind w:right="-18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2662" w:type="dxa"/>
          </w:tcPr>
          <w:p w:rsidR="00000000" w:rsidRDefault="003C190E">
            <w:pPr>
              <w:ind w:right="-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3.659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900"/>
        <w:gridCol w:w="3690"/>
        <w:gridCol w:w="918"/>
        <w:gridCol w:w="2662"/>
        <w:gridCol w:w="10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9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TOZ VE GRANÜL (TON)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SIVI İLAÇ (1000 LİTRE)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9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Powders &amp; Granules (to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266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Liquids (1000 liters)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690" w:type="dxa"/>
          </w:tcPr>
          <w:p w:rsidR="00000000" w:rsidRDefault="003C190E">
            <w:pPr>
              <w:ind w:right="-10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662" w:type="dxa"/>
          </w:tcPr>
          <w:p w:rsidR="00000000" w:rsidRDefault="003C190E">
            <w:pPr>
              <w:ind w:right="-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2.207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690" w:type="dxa"/>
          </w:tcPr>
          <w:p w:rsidR="00000000" w:rsidRDefault="003C190E">
            <w:pPr>
              <w:ind w:right="-10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662" w:type="dxa"/>
          </w:tcPr>
          <w:p w:rsidR="00000000" w:rsidRDefault="003C190E">
            <w:pPr>
              <w:ind w:right="-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2.373</w:t>
            </w:r>
          </w:p>
        </w:tc>
        <w:tc>
          <w:tcPr>
            <w:tcW w:w="1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900"/>
        <w:gridCol w:w="3690"/>
        <w:gridCol w:w="918"/>
        <w:gridCol w:w="2772"/>
        <w:gridCol w:w="9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9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KOLONYA (TON)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  <w:tc>
          <w:tcPr>
            <w:tcW w:w="277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AERESOL (1000 ADET)</w:t>
            </w:r>
          </w:p>
        </w:tc>
        <w:tc>
          <w:tcPr>
            <w:tcW w:w="900" w:type="dxa"/>
          </w:tcPr>
          <w:p w:rsidR="00000000" w:rsidRDefault="003C190E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9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Eau de Cologne (tons)</w:t>
            </w:r>
          </w:p>
        </w:tc>
        <w:tc>
          <w:tcPr>
            <w:tcW w:w="918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  <w:tc>
          <w:tcPr>
            <w:tcW w:w="277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Aerosols (1000 units)</w:t>
            </w:r>
          </w:p>
        </w:tc>
        <w:tc>
          <w:tcPr>
            <w:tcW w:w="900" w:type="dxa"/>
          </w:tcPr>
          <w:p w:rsidR="00000000" w:rsidRDefault="003C190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690" w:type="dxa"/>
          </w:tcPr>
          <w:p w:rsidR="00000000" w:rsidRDefault="003C190E">
            <w:pPr>
              <w:ind w:right="-10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  <w:tc>
          <w:tcPr>
            <w:tcW w:w="918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  <w:tc>
          <w:tcPr>
            <w:tcW w:w="2772" w:type="dxa"/>
          </w:tcPr>
          <w:p w:rsidR="00000000" w:rsidRDefault="003C190E">
            <w:pPr>
              <w:ind w:right="-1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1.412</w:t>
            </w:r>
          </w:p>
        </w:tc>
        <w:tc>
          <w:tcPr>
            <w:tcW w:w="900" w:type="dxa"/>
          </w:tcPr>
          <w:p w:rsidR="00000000" w:rsidRDefault="003C190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690" w:type="dxa"/>
          </w:tcPr>
          <w:p w:rsidR="00000000" w:rsidRDefault="003C190E">
            <w:pPr>
              <w:ind w:right="-10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</w:t>
            </w:r>
          </w:p>
        </w:tc>
        <w:tc>
          <w:tcPr>
            <w:tcW w:w="918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772" w:type="dxa"/>
          </w:tcPr>
          <w:p w:rsidR="00000000" w:rsidRDefault="003C190E">
            <w:pPr>
              <w:ind w:right="-1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1.542</w:t>
            </w:r>
          </w:p>
        </w:tc>
        <w:tc>
          <w:tcPr>
            <w:tcW w:w="900" w:type="dxa"/>
          </w:tcPr>
          <w:p w:rsidR="00000000" w:rsidRDefault="003C190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i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</w:t>
            </w:r>
            <w:r>
              <w:rPr>
                <w:rFonts w:ascii="Arial" w:hAnsi="Arial"/>
                <w:color w:val="000000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29"/>
        <w:gridCol w:w="2268"/>
        <w:gridCol w:w="40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29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İLAÇ (ADET)</w:t>
            </w:r>
          </w:p>
        </w:tc>
        <w:tc>
          <w:tcPr>
            <w:tcW w:w="226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VETERİNER ÜRÜNLERİ (ADET)</w:t>
            </w:r>
          </w:p>
        </w:tc>
        <w:tc>
          <w:tcPr>
            <w:tcW w:w="403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TÜKETİM ÜRÜNLERİ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29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Pharmaceuticals  unit) </w:t>
            </w:r>
          </w:p>
        </w:tc>
        <w:tc>
          <w:tcPr>
            <w:tcW w:w="2268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Veterinary 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oducts(unit)</w:t>
            </w:r>
          </w:p>
        </w:tc>
        <w:tc>
          <w:tcPr>
            <w:tcW w:w="403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Health Care and Household Products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029" w:type="dxa"/>
          </w:tcPr>
          <w:p w:rsidR="00000000" w:rsidRDefault="003C190E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87.051.634</w:t>
            </w:r>
          </w:p>
        </w:tc>
        <w:tc>
          <w:tcPr>
            <w:tcW w:w="2268" w:type="dxa"/>
          </w:tcPr>
          <w:p w:rsidR="00000000" w:rsidRDefault="003C190E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890.355</w:t>
            </w:r>
          </w:p>
        </w:tc>
        <w:tc>
          <w:tcPr>
            <w:tcW w:w="4032" w:type="dxa"/>
          </w:tcPr>
          <w:p w:rsidR="00000000" w:rsidRDefault="003C190E">
            <w:pPr>
              <w:ind w:right="-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5.360.342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029" w:type="dxa"/>
          </w:tcPr>
          <w:p w:rsidR="00000000" w:rsidRDefault="003C190E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79.540.473</w:t>
            </w:r>
          </w:p>
        </w:tc>
        <w:tc>
          <w:tcPr>
            <w:tcW w:w="2268" w:type="dxa"/>
          </w:tcPr>
          <w:p w:rsidR="00000000" w:rsidRDefault="003C190E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973.247</w:t>
            </w:r>
          </w:p>
        </w:tc>
        <w:tc>
          <w:tcPr>
            <w:tcW w:w="4032" w:type="dxa"/>
          </w:tcPr>
          <w:p w:rsidR="00000000" w:rsidRDefault="003C190E">
            <w:pPr>
              <w:ind w:right="-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3.752.883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59" w:type="dxa"/>
          </w:tcPr>
          <w:p w:rsidR="00000000" w:rsidRDefault="003C190E">
            <w:pPr>
              <w:ind w:right="16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59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Contract Manufacturing (unit)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659" w:type="dxa"/>
          </w:tcPr>
          <w:p w:rsidR="00000000" w:rsidRDefault="003C190E">
            <w:pPr>
              <w:ind w:right="-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54.099.472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659" w:type="dxa"/>
          </w:tcPr>
          <w:p w:rsidR="00000000" w:rsidRDefault="003C190E">
            <w:pPr>
              <w:ind w:right="-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61.742.568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</w:t>
            </w:r>
            <w:r>
              <w:rPr>
                <w:rFonts w:ascii="Arial" w:hAnsi="Arial"/>
                <w:color w:val="000000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0"/>
        <w:gridCol w:w="1702"/>
        <w:gridCol w:w="2391"/>
        <w:gridCol w:w="1757"/>
        <w:gridCol w:w="20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9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57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4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9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57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41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2" w:type="dxa"/>
          </w:tcPr>
          <w:p w:rsidR="00000000" w:rsidRDefault="003C190E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8.139.295.336.470</w:t>
            </w:r>
          </w:p>
          <w:p w:rsidR="00000000" w:rsidRDefault="003C190E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53.785.430</w:t>
            </w:r>
          </w:p>
        </w:tc>
        <w:tc>
          <w:tcPr>
            <w:tcW w:w="2391" w:type="dxa"/>
          </w:tcPr>
          <w:p w:rsidR="00000000" w:rsidRDefault="003C190E">
            <w:pPr>
              <w:ind w:right="6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57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989.309.533.781</w:t>
            </w:r>
          </w:p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6.297.291</w:t>
            </w:r>
          </w:p>
        </w:tc>
        <w:tc>
          <w:tcPr>
            <w:tcW w:w="2040" w:type="dxa"/>
          </w:tcPr>
          <w:p w:rsidR="00000000" w:rsidRDefault="003C190E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2" w:type="dxa"/>
          </w:tcPr>
          <w:p w:rsidR="00000000" w:rsidRDefault="003C190E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14.768.863.322.224</w:t>
            </w:r>
          </w:p>
          <w:p w:rsidR="00000000" w:rsidRDefault="003C190E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56.861.932</w:t>
            </w:r>
          </w:p>
        </w:tc>
        <w:tc>
          <w:tcPr>
            <w:tcW w:w="2391" w:type="dxa"/>
          </w:tcPr>
          <w:p w:rsidR="00000000" w:rsidRDefault="003C190E">
            <w:pPr>
              <w:ind w:right="6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57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1.550.651.564.266</w:t>
            </w:r>
          </w:p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6.093.099</w:t>
            </w:r>
          </w:p>
        </w:tc>
        <w:tc>
          <w:tcPr>
            <w:tcW w:w="2040" w:type="dxa"/>
          </w:tcPr>
          <w:p w:rsidR="00000000" w:rsidRDefault="003C190E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</w:t>
            </w:r>
          </w:p>
        </w:tc>
      </w:tr>
    </w:tbl>
    <w:p w:rsidR="00000000" w:rsidRDefault="003C190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3C190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</w:t>
            </w:r>
            <w:r>
              <w:rPr>
                <w:rFonts w:ascii="Arial" w:hAnsi="Arial"/>
                <w:color w:val="000000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520"/>
        <w:gridCol w:w="2012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3C19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2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1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4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2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1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74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3C19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2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12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4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 VE DARBOĞAZ</w:t>
            </w:r>
          </w:p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GİDERİCİ MAKİNE YATIRIMI</w:t>
            </w:r>
          </w:p>
          <w:p w:rsidR="00000000" w:rsidRDefault="003C19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And Bottle-Neck Remover</w:t>
            </w:r>
          </w:p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Machine İnvestments)</w:t>
            </w:r>
          </w:p>
        </w:tc>
        <w:tc>
          <w:tcPr>
            <w:tcW w:w="2520" w:type="dxa"/>
          </w:tcPr>
          <w:p w:rsidR="00000000" w:rsidRDefault="003C190E">
            <w:pPr>
              <w:ind w:right="-10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 1998-28.02.1999</w:t>
            </w:r>
          </w:p>
        </w:tc>
        <w:tc>
          <w:tcPr>
            <w:tcW w:w="2010" w:type="dxa"/>
          </w:tcPr>
          <w:p w:rsidR="00000000" w:rsidRDefault="003C19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</w:t>
            </w:r>
          </w:p>
        </w:tc>
        <w:tc>
          <w:tcPr>
            <w:tcW w:w="1676" w:type="dxa"/>
          </w:tcPr>
          <w:p w:rsidR="00000000" w:rsidRDefault="003C19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1.249.535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</w:t>
            </w:r>
            <w:r>
              <w:rPr>
                <w:rFonts w:ascii="Arial" w:hAnsi="Arial"/>
                <w:color w:val="000000"/>
                <w:sz w:val="16"/>
              </w:rPr>
              <w:t xml:space="preserve">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48"/>
        <w:gridCol w:w="11"/>
        <w:gridCol w:w="2364"/>
        <w:gridCol w:w="3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98" w:type="dxa"/>
            <w:gridSpan w:val="2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98" w:type="dxa"/>
            <w:gridSpan w:val="2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 Capital</w:t>
            </w:r>
          </w:p>
        </w:tc>
        <w:tc>
          <w:tcPr>
            <w:tcW w:w="1985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375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29.325.000.000.000.-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Eczacıbaşı-Baxter Hastane Ür. San. ve Tic. A.Ş.</w:t>
            </w:r>
          </w:p>
        </w:tc>
        <w:tc>
          <w:tcPr>
            <w:tcW w:w="2375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8" w:type="dxa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İpek-Kağıt Sanayi ve Ticaret A.Ş.</w:t>
            </w:r>
          </w:p>
        </w:tc>
        <w:tc>
          <w:tcPr>
            <w:tcW w:w="2375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Eczacıbaşı-Beiersdorf Koz. Ür. San. ve Tic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Eczacıbaşı-Rhone Poulenc İlaç Paz.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Eczacıbaşı-Avon Koz. Ür. San. Ve Tic.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Eczacıbaşı-Schwarzkopf Koz. Ür. Paz.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Eczacıbaşı-Warner Lambert İlaç San. Ve Tic.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Eczacıbaşı-Bilgi İletim San. Ve Tic.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İnşaat ve Ticaret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</w:t>
            </w:r>
            <w:r>
              <w:rPr>
                <w:rFonts w:ascii="Arial" w:hAnsi="Arial"/>
                <w:color w:val="000000"/>
                <w:sz w:val="16"/>
              </w:rPr>
              <w:t>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Health Care Products Joint Stock Co.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825.200.345.708.-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Özgün Kimyasal Ürünler San.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59" w:type="dxa"/>
            <w:gridSpan w:val="2"/>
          </w:tcPr>
          <w:p w:rsidR="00000000" w:rsidRDefault="003C19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İlaç Pazarlama A.Ş.</w:t>
            </w:r>
          </w:p>
        </w:tc>
        <w:tc>
          <w:tcPr>
            <w:tcW w:w="2364" w:type="dxa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</w:t>
            </w:r>
          </w:p>
        </w:tc>
        <w:tc>
          <w:tcPr>
            <w:tcW w:w="2018" w:type="dxa"/>
            <w:gridSpan w:val="2"/>
          </w:tcPr>
          <w:p w:rsidR="00000000" w:rsidRDefault="003C19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başlıca ortakları ve sermaye payları</w:t>
            </w:r>
            <w:r>
              <w:rPr>
                <w:rFonts w:ascii="Arial" w:hAnsi="Arial"/>
                <w:color w:val="000000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3C190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C190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190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4"/>
        <w:gridCol w:w="2106"/>
        <w:gridCol w:w="23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3C19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06" w:type="dxa"/>
          </w:tcPr>
          <w:p w:rsidR="00000000" w:rsidRDefault="003C19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0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3C19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06" w:type="dxa"/>
          </w:tcPr>
          <w:p w:rsidR="00000000" w:rsidRDefault="003C190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00" w:type="dxa"/>
          </w:tcPr>
          <w:p w:rsidR="00000000" w:rsidRDefault="003C19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C190E">
      <w:pPr>
        <w:jc w:val="both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</w:t>
      </w:r>
      <w:r>
        <w:rPr>
          <w:rFonts w:ascii="Arial" w:hAnsi="Arial"/>
          <w:color w:val="000000"/>
          <w:sz w:val="16"/>
        </w:rPr>
        <w:t>plam oy haklarının en az% 10'una sahip gerçek ve tüzel kişi ortaklar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840"/>
        <w:gridCol w:w="2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Finsan Sınai ve Ticari Yatırımlar A.Ş.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ind w:right="-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860.514- 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ind w:right="-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856.520-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ind w:right="-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635.944-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20.88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24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 Ortaklık yönetim ve denetim</w:t>
      </w:r>
      <w:r>
        <w:rPr>
          <w:rFonts w:ascii="Arial" w:hAnsi="Arial"/>
          <w:color w:val="000000"/>
          <w:sz w:val="16"/>
        </w:rPr>
        <w:t xml:space="preserve"> organlarında görevli pay sahibi kişiler (ayrı ayrı), 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840"/>
        <w:gridCol w:w="2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K. Ayhan SUSKUN 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1.239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Saffet ÖZBAY 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24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24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</w:t>
      </w:r>
      <w:r>
        <w:rPr>
          <w:rFonts w:ascii="Arial" w:hAnsi="Arial"/>
          <w:color w:val="000000"/>
          <w:sz w:val="16"/>
        </w:rPr>
        <w:t>),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76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Akın DİNÇSOY </w:t>
            </w:r>
          </w:p>
        </w:tc>
        <w:tc>
          <w:tcPr>
            <w:tcW w:w="1764" w:type="dxa"/>
          </w:tcPr>
          <w:p w:rsidR="00000000" w:rsidRDefault="003C190E">
            <w:pPr>
              <w:tabs>
                <w:tab w:val="left" w:pos="5954"/>
                <w:tab w:val="left" w:pos="6096"/>
              </w:tabs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126" w:type="dxa"/>
          </w:tcPr>
          <w:p w:rsidR="00000000" w:rsidRDefault="003C190E">
            <w:pPr>
              <w:tabs>
                <w:tab w:val="left" w:pos="5954"/>
                <w:tab w:val="left" w:pos="6096"/>
              </w:tabs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840"/>
        <w:gridCol w:w="2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İNALTONG</w:t>
            </w:r>
          </w:p>
        </w:tc>
        <w:tc>
          <w:tcPr>
            <w:tcW w:w="1840" w:type="dxa"/>
          </w:tcPr>
          <w:p w:rsidR="00000000" w:rsidRDefault="003C190E">
            <w:pPr>
              <w:tabs>
                <w:tab w:val="left" w:pos="5954"/>
              </w:tabs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050" w:type="dxa"/>
          </w:tcPr>
          <w:p w:rsidR="00000000" w:rsidRDefault="003C190E">
            <w:pPr>
              <w:tabs>
                <w:tab w:val="left" w:pos="5954"/>
              </w:tabs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</w:t>
      </w:r>
      <w:r>
        <w:rPr>
          <w:rFonts w:ascii="Arial" w:hAnsi="Arial"/>
          <w:color w:val="000000"/>
          <w:sz w:val="16"/>
        </w:rPr>
        <w:t xml:space="preserve">p olmakla birlikte, (A) alt başlığında belirtilen 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840"/>
        <w:gridCol w:w="20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80" w:type="dxa"/>
          </w:tcPr>
          <w:p w:rsidR="00000000" w:rsidRDefault="003C190E">
            <w:pPr>
              <w:spacing w:line="360" w:lineRule="auto"/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0"/>
        <w:gridCol w:w="1840"/>
        <w:gridCol w:w="2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90" w:type="dxa"/>
          </w:tcPr>
          <w:p w:rsidR="00000000" w:rsidRDefault="003C190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40" w:type="dxa"/>
          </w:tcPr>
          <w:p w:rsidR="00000000" w:rsidRDefault="003C190E">
            <w:pPr>
              <w:spacing w:line="360" w:lineRule="auto"/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691.282</w:t>
            </w:r>
          </w:p>
        </w:tc>
        <w:tc>
          <w:tcPr>
            <w:tcW w:w="2050" w:type="dxa"/>
          </w:tcPr>
          <w:p w:rsidR="00000000" w:rsidRDefault="003C190E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22.70</w:t>
            </w:r>
          </w:p>
        </w:tc>
      </w:tr>
    </w:tbl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Kuruluşumuzun çıkarılmış</w:t>
      </w:r>
      <w:r>
        <w:rPr>
          <w:rFonts w:ascii="Arial" w:hAnsi="Arial"/>
          <w:color w:val="000000"/>
          <w:sz w:val="16"/>
        </w:rPr>
        <w:t xml:space="preserve"> sermayesi, tescil işlemleri sonrası 26.03.1999 tarihinde 12.182.400 milyon TL olarak Türkiye Ticaret Sicill Gazetesi''nde yayınlanmış olup yeni hisse senetlerinin dağıtımına henüz başlanmamıştır. Dolayısıyle ortakların sermaye payları 3.045.600 milyon TL </w:t>
      </w:r>
      <w:r>
        <w:rPr>
          <w:rFonts w:ascii="Arial" w:hAnsi="Arial"/>
          <w:color w:val="000000"/>
          <w:sz w:val="16"/>
        </w:rPr>
        <w:t>üzerinden hazırlanmıştır.</w:t>
      </w:r>
    </w:p>
    <w:p w:rsidR="00000000" w:rsidRDefault="003C19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90E"/>
    <w:rsid w:val="003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98209-1D00-45F8-8442-D22A2147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EIS</dc:creator>
  <cp:keywords/>
  <cp:lastModifiedBy>ozgursheker@gmail.com</cp:lastModifiedBy>
  <cp:revision>2</cp:revision>
  <cp:lastPrinted>1999-04-15T19:44:00Z</cp:lastPrinted>
  <dcterms:created xsi:type="dcterms:W3CDTF">2022-09-01T21:55:00Z</dcterms:created>
  <dcterms:modified xsi:type="dcterms:W3CDTF">2022-09-01T21:55:00Z</dcterms:modified>
</cp:coreProperties>
</file>