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3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48"/>
        </w:trPr>
        <w:tc>
          <w:tcPr>
            <w:tcW w:w="9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spacing w:val="-3"/>
                <w:sz w:val="28"/>
              </w:rPr>
            </w:pPr>
            <w:r>
              <w:rPr>
                <w:rFonts w:ascii="Arial" w:hAnsi="Arial"/>
                <w:b/>
                <w:spacing w:val="-3"/>
                <w:sz w:val="28"/>
              </w:rPr>
              <w:t>TÜRKİYE İŞ BANKASI A.Ş.</w:t>
            </w:r>
          </w:p>
        </w:tc>
      </w:tr>
    </w:tbl>
    <w:p w:rsidR="00000000" w:rsidRDefault="00186056">
      <w:pPr>
        <w:tabs>
          <w:tab w:val="left" w:pos="-720"/>
        </w:tabs>
        <w:suppressAutoHyphens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141"/>
        <w:gridCol w:w="56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TOPTAN VE PERAKENDE BANKACILIK</w:t>
            </w:r>
          </w:p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3432" w:type="dxa"/>
          </w:tcPr>
          <w:p w:rsidR="00000000" w:rsidRDefault="00186056">
            <w:pPr>
              <w:pStyle w:val="Heading1"/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MERKEZ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NO:191 KAVAKLIDERE 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TİMİSİ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TÜTÜNCÜ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ERBAŞAR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ÖZYÜREK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H.ARSLAN 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0-312-</w:t>
            </w:r>
            <w:r>
              <w:rPr>
                <w:rFonts w:ascii="Arial" w:hAnsi="Arial"/>
                <w:color w:val="000000"/>
                <w:sz w:val="16"/>
              </w:rPr>
              <w:t>413 99 00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0-312-413 90 90 - 413 90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NİSAN 1998 - 31 MART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ASİSEN BANKA-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pStyle w:val="Heading4"/>
            </w:pPr>
            <w:r>
              <w:t>(Basisen Bank-Insurance Labor Union)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06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>650.000.000.000.000.-</w:t>
            </w: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>TC  \l 1 "ğer Bankanız esas sermaye "</w:instrTex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126.909.000.000.000.-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32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671" w:type="dxa"/>
          </w:tcPr>
          <w:p w:rsidR="00000000" w:rsidRDefault="00186056">
            <w:pPr>
              <w:keepNext/>
              <w:keepLines/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 xml:space="preserve">Banka’nın son iki döneme ait kullandırdığı kredi ve topladığı mevduat </w:t>
            </w:r>
            <w:r>
              <w:rPr>
                <w:rFonts w:ascii="Arial" w:hAnsi="Arial"/>
                <w:color w:val="000000"/>
                <w:sz w:val="16"/>
              </w:rPr>
              <w:t>tutarları aşağıda gösterilmektedir.</w:t>
            </w:r>
          </w:p>
        </w:tc>
        <w:tc>
          <w:tcPr>
            <w:tcW w:w="113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4"/>
        <w:gridCol w:w="2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79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Mevduat (Milyon TL)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976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79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976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794" w:type="dxa"/>
          </w:tcPr>
          <w:p w:rsidR="00000000" w:rsidRDefault="00186056">
            <w:pPr>
              <w:tabs>
                <w:tab w:val="left" w:pos="-720"/>
                <w:tab w:val="left" w:pos="2578"/>
              </w:tabs>
              <w:suppressAutoHyphens/>
              <w:spacing w:before="60"/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924.</w:t>
            </w:r>
            <w:r>
              <w:rPr>
                <w:rFonts w:ascii="Arial" w:hAnsi="Arial"/>
                <w:color w:val="000000"/>
                <w:sz w:val="16"/>
              </w:rPr>
              <w:t>503.862</w:t>
            </w:r>
          </w:p>
        </w:tc>
        <w:tc>
          <w:tcPr>
            <w:tcW w:w="2976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8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641.889.338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9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1.538.800.362</w:t>
            </w:r>
          </w:p>
        </w:tc>
        <w:tc>
          <w:tcPr>
            <w:tcW w:w="2976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8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1.140.633.370</w:t>
            </w:r>
          </w:p>
        </w:tc>
      </w:tr>
    </w:tbl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2"/>
        <w:gridCol w:w="1212"/>
        <w:gridCol w:w="41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3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Bank are given below.</w:t>
            </w:r>
          </w:p>
        </w:tc>
      </w:tr>
    </w:tbl>
    <w:p w:rsidR="00000000" w:rsidRDefault="00186056">
      <w:pPr>
        <w:tabs>
          <w:tab w:val="left" w:pos="-720"/>
        </w:tabs>
        <w:suppressAutoHyphens/>
        <w:jc w:val="center"/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42"/>
        <w:gridCol w:w="221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037" w:type="dxa"/>
          </w:tcPr>
          <w:p w:rsidR="00000000" w:rsidRDefault="00186056">
            <w:pPr>
              <w:pStyle w:val="Heading5"/>
            </w:pPr>
            <w:r>
              <w:t>Başlangıç-Bitiş Tarihler</w:t>
            </w:r>
            <w:r>
              <w:t>i</w:t>
            </w:r>
          </w:p>
        </w:tc>
        <w:tc>
          <w:tcPr>
            <w:tcW w:w="221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7" w:type="dxa"/>
          </w:tcPr>
          <w:p w:rsidR="00000000" w:rsidRDefault="0018605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Estimated Ending Date</w:t>
            </w:r>
          </w:p>
        </w:tc>
        <w:tc>
          <w:tcPr>
            <w:tcW w:w="221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00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İLETİŞİM ALTYAPISI VE PC’YE </w:t>
            </w:r>
          </w:p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DÖNÜŞTÜRME</w:t>
            </w:r>
          </w:p>
          <w:p w:rsidR="00000000" w:rsidRDefault="00186056">
            <w:pPr>
              <w:pStyle w:val="Heading4"/>
            </w:pPr>
            <w:r>
              <w:rPr>
                <w:i w:val="0"/>
              </w:rPr>
              <w:t>(Infor</w:t>
            </w:r>
            <w:r>
              <w:rPr>
                <w:i w:val="0"/>
              </w:rPr>
              <w:t>mation Technology Infrastructure And Transformation</w:t>
            </w:r>
            <w:r>
              <w:t>Into  Pc System)</w:t>
            </w:r>
          </w:p>
        </w:tc>
        <w:tc>
          <w:tcPr>
            <w:tcW w:w="20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01.01.1999 - 31.12.1999</w:t>
            </w:r>
          </w:p>
        </w:tc>
        <w:tc>
          <w:tcPr>
            <w:tcW w:w="220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5.000.000.-$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ATM</w:t>
            </w:r>
          </w:p>
        </w:tc>
        <w:tc>
          <w:tcPr>
            <w:tcW w:w="20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01.01.1999 - 31.12.1999</w:t>
            </w:r>
          </w:p>
        </w:tc>
        <w:tc>
          <w:tcPr>
            <w:tcW w:w="220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3.875.000.-$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975.000.-$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</w:t>
            </w:r>
          </w:p>
        </w:tc>
        <w:tc>
          <w:tcPr>
            <w:tcW w:w="20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01.01.1999 - 31.12.1999</w:t>
            </w:r>
          </w:p>
        </w:tc>
        <w:tc>
          <w:tcPr>
            <w:tcW w:w="220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4.000.000.-$</w:t>
            </w:r>
          </w:p>
        </w:tc>
        <w:tc>
          <w:tcPr>
            <w:tcW w:w="184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1.200.000.-$</w:t>
            </w:r>
          </w:p>
        </w:tc>
      </w:tr>
    </w:tbl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-720"/>
        </w:tabs>
        <w:suppressAutoHyphens/>
        <w:rPr>
          <w:rFonts w:ascii="Arial" w:hAnsi="Arial"/>
          <w:color w:val="000000"/>
          <w:sz w:val="16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>Banka’nın başlıc</w:t>
            </w:r>
            <w:r>
              <w:rPr>
                <w:rFonts w:ascii="Arial" w:hAnsi="Arial"/>
                <w:color w:val="000000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186056">
      <w:pPr>
        <w:tabs>
          <w:tab w:val="left" w:pos="-720"/>
        </w:tabs>
        <w:suppressAutoHyphens/>
        <w:spacing w:before="60"/>
        <w:jc w:val="center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(28 Şubat 1999 itibariyle)</w:t>
      </w:r>
    </w:p>
    <w:p w:rsidR="00000000" w:rsidRDefault="00186056">
      <w:pPr>
        <w:tabs>
          <w:tab w:val="left" w:pos="-720"/>
        </w:tabs>
        <w:suppressAutoHyphens/>
        <w:spacing w:before="60"/>
        <w:jc w:val="center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(As of February 28, 1999)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12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186056">
            <w:pPr>
              <w:pStyle w:val="Heading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 Serma</w:t>
            </w:r>
            <w:r>
              <w:rPr>
                <w:rFonts w:ascii="Arial" w:hAnsi="Arial"/>
              </w:rPr>
              <w:t>yesi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ŞİRKETİ</w:t>
            </w: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6.170.000.000.000 TL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  <w:r>
              <w:rPr>
                <w:rFonts w:ascii="Arial" w:hAnsi="Arial"/>
                <w:color w:val="000000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ANTGIDA GIDA TAR.TUR.EN.VE DEM.ÇEL.SAN.TİC.A.Ş.</w:t>
            </w:r>
          </w:p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7.031.200.000.000 TL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ARAP-TÜRK BANKASI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2.500.000.000.000 TL 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97.500.000.000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ATI KARADENİZ ELEKTRİK DAĞITIM VE TİCARET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3.532.000.000.000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1.551.000.000.000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AMBALAJ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8.505.000.000.000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1.576.42</w:t>
            </w:r>
            <w:r>
              <w:rPr>
                <w:rFonts w:ascii="Arial" w:hAnsi="Arial"/>
                <w:color w:val="000000"/>
                <w:sz w:val="16"/>
              </w:rPr>
              <w:t xml:space="preserve">9.000.000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MAKİNA VE KALIP SAN.A.Ş.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1.150.000.000.000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 ARA MALLARI PAZARLAMA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1.643.000.000.000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2.358.000.000.000 </w:t>
            </w:r>
            <w:r>
              <w:rPr>
                <w:rFonts w:ascii="Arial" w:hAnsi="Arial"/>
                <w:color w:val="000000"/>
                <w:sz w:val="16"/>
              </w:rPr>
              <w:t xml:space="preserve">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3.180.000.000.000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EDİRNE TURİZM VE END.A.Ş.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TEC.İMA.TESİS.A.Ş. (ETİTAŞ)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157.50</w:t>
            </w:r>
            <w:r>
              <w:rPr>
                <w:rFonts w:ascii="Arial" w:hAnsi="Arial"/>
                <w:color w:val="000000"/>
                <w:sz w:val="16"/>
              </w:rPr>
              <w:t xml:space="preserve">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SANAYİİ VE TİCARET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1.922.000.000.000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GENERAL ELEKTRİK T.A.Ş.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LTD.ŞTİ.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FİNANSMAN HİZMETLERİ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</w:t>
            </w:r>
            <w:r>
              <w:rPr>
                <w:rFonts w:ascii="Arial" w:hAnsi="Arial"/>
                <w:color w:val="000000"/>
                <w:sz w:val="16"/>
              </w:rPr>
              <w:t>YRİMENKUL YATIRIM VE PROJE DEĞ.A.Ş.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1.250.000.000.000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ORTAKLIĞI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İŞ-KORAY TURİ</w:t>
            </w:r>
            <w:r>
              <w:rPr>
                <w:rFonts w:ascii="Arial" w:hAnsi="Arial"/>
                <w:color w:val="000000"/>
                <w:sz w:val="16"/>
              </w:rPr>
              <w:t>ZM ORM.MAD.İNŞ.TAAH.VE TİC.A.Ş.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İŞBANK GmbH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 DM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FRUEHAUF TAŞIT ARAÇLARI SAN.VE TİC.A.Ş.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293.415.000.000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İZMİR DEMİR ÇELİK SANAY</w:t>
            </w:r>
            <w:r>
              <w:rPr>
                <w:rFonts w:ascii="Arial" w:hAnsi="Arial"/>
                <w:color w:val="000000"/>
                <w:sz w:val="16"/>
              </w:rPr>
              <w:t>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24.900.000.000.000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KARADENİZ SU ÜRN.SAN.A.Ş. (KAR-SU-SAN)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7.200.000.000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KOCATEPE ELEKTRİK DAĞITIM VE TİCARET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İŞ-TÜRK LTD.ŞTİ.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MERKEZİ PAZARLAMA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43.416.088.000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GAYRİMENKUL YATIRIM VE PROJE DEĞ.A.Ş.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34.500.000.000.000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MİPAŞ MÜMESSİLLİK İTHALAT İHRACAT VE PAZ.A.Ş.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VE TİCARET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22.692.000.000.000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5.300.000.000.000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14.700.000.000.000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SOYAK TURİZM İNŞAAT VE TİCARET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6.400.000.000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ŞİŞE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6.964.000.000.000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10.630.000.000.000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SANAYİİ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266.112</w:t>
            </w:r>
            <w:r>
              <w:rPr>
                <w:rFonts w:ascii="Arial" w:hAnsi="Arial"/>
                <w:color w:val="000000"/>
                <w:sz w:val="16"/>
              </w:rPr>
              <w:t xml:space="preserve">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TUBA-SİM İNŞAAT KONSORSİYUMU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20.100.000.000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PİRELLİ LASTİKLERİ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9.300.000.000.000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8.000.000.000.000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VE CAM FAB.A.Ş.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23.100.000.000.000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TÜTAŞ TÜRK TURİZM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4.300.000.000.000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İŞLEMLER EĞİTİM DANIŞMANLIK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YATIRIMLAR HOLDİNG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78.975.000.000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5812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ZEPA TAR.HAYVANSAL VE SINAİ ÜRÜN.ÜRETİM VE PAZ.A.Ş.</w:t>
            </w:r>
          </w:p>
        </w:tc>
        <w:tc>
          <w:tcPr>
            <w:tcW w:w="1985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500.000.000.000 TL </w:t>
            </w:r>
          </w:p>
        </w:tc>
        <w:tc>
          <w:tcPr>
            <w:tcW w:w="1417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ind w:right="3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</w:t>
            </w:r>
          </w:p>
        </w:tc>
      </w:tr>
    </w:tbl>
    <w:p w:rsidR="00000000" w:rsidRDefault="00186056">
      <w:pPr>
        <w:tabs>
          <w:tab w:val="left" w:pos="-720"/>
        </w:tabs>
        <w:suppressAutoHyphens/>
        <w:spacing w:before="60"/>
        <w:rPr>
          <w:rFonts w:ascii="Arial" w:hAnsi="Arial"/>
          <w:color w:val="FF0000"/>
          <w:sz w:val="16"/>
        </w:rPr>
      </w:pPr>
    </w:p>
    <w:tbl>
      <w:tblPr>
        <w:tblW w:w="0" w:type="auto"/>
        <w:tblInd w:w="-92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fldChar w:fldCharType="begin"/>
            </w:r>
            <w:r>
              <w:rPr>
                <w:rFonts w:ascii="Arial" w:hAnsi="Arial"/>
                <w:color w:val="FF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FF0000"/>
                <w:sz w:val="16"/>
              </w:rPr>
            </w:r>
            <w:r>
              <w:rPr>
                <w:rFonts w:ascii="Arial" w:hAnsi="Arial"/>
                <w:color w:val="FF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4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color w:val="000000"/>
                <w:sz w:val="16"/>
              </w:rPr>
              <w:t>capital are shown below.</w:t>
            </w:r>
          </w:p>
        </w:tc>
      </w:tr>
    </w:tbl>
    <w:p w:rsidR="00000000" w:rsidRDefault="00186056">
      <w:pPr>
        <w:tabs>
          <w:tab w:val="left" w:pos="-720"/>
        </w:tabs>
        <w:suppressAutoHyphens/>
        <w:spacing w:before="60"/>
        <w:jc w:val="both"/>
        <w:rPr>
          <w:rFonts w:ascii="Arial" w:hAnsi="Arial"/>
          <w:color w:val="000000"/>
          <w:spacing w:val="-3"/>
          <w:sz w:val="16"/>
        </w:rPr>
      </w:pPr>
      <w:r>
        <w:rPr>
          <w:rFonts w:ascii="Arial" w:hAnsi="Arial"/>
          <w:color w:val="000000"/>
          <w:spacing w:val="-3"/>
          <w:sz w:val="16"/>
        </w:rPr>
        <w:t xml:space="preserve">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55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PRIVATE </w:instrText>
            </w:r>
            <w:r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74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T.İŞ BANKASI MENSUPLARI SOSYAL </w:t>
            </w:r>
          </w:p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YARDIMLAŞMA VE GÜVENLİK SANDIĞI VAKFI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57.307.119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HALK PARTİSİ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5.651.485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116.000 CİVARINDA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33.950.397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96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559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126.909.000</w:t>
            </w:r>
          </w:p>
        </w:tc>
        <w:tc>
          <w:tcPr>
            <w:tcW w:w="2268" w:type="dxa"/>
          </w:tcPr>
          <w:p w:rsidR="00000000" w:rsidRDefault="00186056">
            <w:pPr>
              <w:tabs>
                <w:tab w:val="left" w:pos="-720"/>
              </w:tabs>
              <w:suppressAutoHyphens/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86056">
      <w:pPr>
        <w:tabs>
          <w:tab w:val="left" w:pos="0"/>
          <w:tab w:val="left" w:pos="566"/>
          <w:tab w:val="left" w:pos="992"/>
          <w:tab w:val="left" w:pos="1702"/>
          <w:tab w:val="center" w:pos="1985"/>
          <w:tab w:val="left" w:pos="4536"/>
          <w:tab w:val="left" w:pos="6236"/>
          <w:tab w:val="left" w:pos="6662"/>
          <w:tab w:val="left" w:pos="8789"/>
        </w:tabs>
        <w:suppressAutoHyphens/>
        <w:ind w:right="1231"/>
        <w:rPr>
          <w:rFonts w:ascii="Arial" w:hAnsi="Arial"/>
          <w:color w:val="000000"/>
          <w:sz w:val="16"/>
        </w:rPr>
      </w:pPr>
    </w:p>
    <w:p w:rsidR="00000000" w:rsidRDefault="00186056">
      <w:pPr>
        <w:tabs>
          <w:tab w:val="left" w:pos="0"/>
          <w:tab w:val="left" w:pos="566"/>
          <w:tab w:val="left" w:pos="992"/>
          <w:tab w:val="left" w:pos="1702"/>
          <w:tab w:val="center" w:pos="1985"/>
          <w:tab w:val="left" w:pos="2160"/>
        </w:tabs>
        <w:suppressAutoHyphens/>
        <w:ind w:right="1231"/>
        <w:rPr>
          <w:rFonts w:ascii="Arial" w:hAnsi="Arial"/>
          <w:color w:val="000000"/>
          <w:sz w:val="16"/>
        </w:rPr>
      </w:pPr>
    </w:p>
    <w:sectPr w:rsidR="00000000">
      <w:endnotePr>
        <w:numFmt w:val="decimal"/>
      </w:endnotePr>
      <w:pgSz w:w="11906" w:h="16839"/>
      <w:pgMar w:top="720" w:right="1796" w:bottom="720" w:left="17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86056">
      <w:pPr>
        <w:spacing w:line="20" w:lineRule="exact"/>
        <w:rPr>
          <w:sz w:val="24"/>
        </w:rPr>
      </w:pPr>
    </w:p>
  </w:endnote>
  <w:endnote w:type="continuationSeparator" w:id="0">
    <w:p w:rsidR="00000000" w:rsidRDefault="00186056">
      <w:r>
        <w:rPr>
          <w:sz w:val="24"/>
        </w:rPr>
        <w:t xml:space="preserve"> </w:t>
      </w:r>
    </w:p>
  </w:endnote>
  <w:endnote w:type="continuationNotice" w:id="1">
    <w:p w:rsidR="00000000" w:rsidRDefault="0018605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86056">
      <w:r>
        <w:rPr>
          <w:sz w:val="24"/>
        </w:rPr>
        <w:separator/>
      </w:r>
    </w:p>
  </w:footnote>
  <w:footnote w:type="continuationSeparator" w:id="0">
    <w:p w:rsidR="00000000" w:rsidRDefault="00186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84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suppressTopSpacingWP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056"/>
    <w:rsid w:val="001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AA733-89EA-4830-B8CD-D23C3D55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spacing w:before="60"/>
      <w:jc w:val="right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spacing w:before="60"/>
      <w:outlineLvl w:val="2"/>
    </w:pPr>
    <w:rPr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uppressAutoHyphens/>
      <w:spacing w:before="60"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spacing w:before="60"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T. IS BANKASI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Oğuz Haluk Solak</dc:creator>
  <cp:keywords/>
  <dc:description/>
  <cp:lastModifiedBy>ozgursheker@gmail.com</cp:lastModifiedBy>
  <cp:revision>2</cp:revision>
  <cp:lastPrinted>1999-04-15T17:50:00Z</cp:lastPrinted>
  <dcterms:created xsi:type="dcterms:W3CDTF">2022-09-01T21:55:00Z</dcterms:created>
  <dcterms:modified xsi:type="dcterms:W3CDTF">2022-09-01T21:55:00Z</dcterms:modified>
</cp:coreProperties>
</file>