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3E44">
            <w:pPr>
              <w:pStyle w:val="Heading1"/>
            </w:pPr>
            <w:r>
              <w:t>ARÇELİK A.Ş.</w:t>
            </w:r>
          </w:p>
        </w:tc>
      </w:tr>
    </w:tbl>
    <w:p w:rsidR="00000000" w:rsidRDefault="007E3E44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68"/>
        <w:gridCol w:w="360"/>
        <w:gridCol w:w="57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VE ELEKTRİKSİZ EV ALETLERİ İLE EV EKONOMİSİ İÇİNDE YER ALAN CİHAZLARIN KENDİLERİ İLE BUNLARIN ANA VE TALİ GİRDİLERİNİN İMALİ, SATIŞI, İHRACI VE İTHALATI İLE İLGİLİ</w:t>
            </w:r>
            <w:r>
              <w:rPr>
                <w:rFonts w:ascii="Arial" w:hAnsi="Arial"/>
                <w:color w:val="000000"/>
                <w:sz w:val="16"/>
              </w:rPr>
              <w:t xml:space="preserve"> BÜTÜN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TUZLA 81719  /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SONMAN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ERDOĞAN GÖNÜL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DR.FAZLI AYVERDİ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395 45 15  ( 39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395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01/09/1998-31/08/2000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</w:t>
            </w:r>
            <w:r>
              <w:rPr>
                <w:rFonts w:ascii="Arial" w:hAnsi="Arial"/>
                <w:b/>
                <w:color w:val="000000"/>
                <w:sz w:val="16"/>
              </w:rPr>
              <w:t>ng Period)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40.400.000.000.000.-TL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6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360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3E4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594"/>
        <w:gridCol w:w="4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594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77" w:type="dxa"/>
          </w:tcPr>
          <w:p w:rsidR="00000000" w:rsidRDefault="007E3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7E3E44">
      <w:pPr>
        <w:tabs>
          <w:tab w:val="left" w:pos="5220"/>
        </w:tabs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(ADET-UNİTS)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688"/>
        <w:gridCol w:w="1246"/>
        <w:gridCol w:w="2127"/>
        <w:gridCol w:w="1086"/>
        <w:gridCol w:w="1839"/>
        <w:gridCol w:w="11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</w:t>
            </w:r>
          </w:p>
        </w:tc>
        <w:tc>
          <w:tcPr>
            <w:tcW w:w="1246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2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ÇAMAŞIR MAKİNESİ:</w:t>
            </w:r>
          </w:p>
        </w:tc>
        <w:tc>
          <w:tcPr>
            <w:tcW w:w="1086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3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BULAŞIK MAKİNESİ</w:t>
            </w:r>
          </w:p>
        </w:tc>
        <w:tc>
          <w:tcPr>
            <w:tcW w:w="112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REFRİGERATORS</w:t>
            </w:r>
          </w:p>
        </w:tc>
        <w:tc>
          <w:tcPr>
            <w:tcW w:w="1246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2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WASHING MACHINES            </w:t>
            </w:r>
          </w:p>
        </w:tc>
        <w:tc>
          <w:tcPr>
            <w:tcW w:w="1086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83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DISWASHERS</w:t>
            </w:r>
          </w:p>
        </w:tc>
        <w:tc>
          <w:tcPr>
            <w:tcW w:w="112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88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1.194.489</w:t>
            </w:r>
          </w:p>
        </w:tc>
        <w:tc>
          <w:tcPr>
            <w:tcW w:w="1246" w:type="dxa"/>
          </w:tcPr>
          <w:p w:rsidR="00000000" w:rsidRDefault="007E3E44">
            <w:pPr>
              <w:ind w:right="1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2127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936.839</w:t>
            </w:r>
          </w:p>
        </w:tc>
        <w:tc>
          <w:tcPr>
            <w:tcW w:w="1086" w:type="dxa"/>
          </w:tcPr>
          <w:p w:rsidR="00000000" w:rsidRDefault="007E3E4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839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368.873</w:t>
            </w:r>
          </w:p>
        </w:tc>
        <w:tc>
          <w:tcPr>
            <w:tcW w:w="1129" w:type="dxa"/>
          </w:tcPr>
          <w:p w:rsidR="00000000" w:rsidRDefault="007E3E44">
            <w:pPr>
              <w:ind w:left="-118" w:right="2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88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1.224.611</w:t>
            </w:r>
          </w:p>
        </w:tc>
        <w:tc>
          <w:tcPr>
            <w:tcW w:w="1246" w:type="dxa"/>
          </w:tcPr>
          <w:p w:rsidR="00000000" w:rsidRDefault="007E3E44">
            <w:pPr>
              <w:ind w:right="1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96.5</w:t>
            </w:r>
          </w:p>
        </w:tc>
        <w:tc>
          <w:tcPr>
            <w:tcW w:w="2127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855.245</w:t>
            </w:r>
          </w:p>
        </w:tc>
        <w:tc>
          <w:tcPr>
            <w:tcW w:w="1086" w:type="dxa"/>
          </w:tcPr>
          <w:p w:rsidR="00000000" w:rsidRDefault="007E3E4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</w:t>
            </w:r>
          </w:p>
        </w:tc>
        <w:tc>
          <w:tcPr>
            <w:tcW w:w="1839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335.174</w:t>
            </w:r>
          </w:p>
        </w:tc>
        <w:tc>
          <w:tcPr>
            <w:tcW w:w="1129" w:type="dxa"/>
          </w:tcPr>
          <w:p w:rsidR="00000000" w:rsidRDefault="007E3E44">
            <w:pPr>
              <w:ind w:left="-118" w:right="2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94"/>
        <w:gridCol w:w="1129"/>
        <w:gridCol w:w="1984"/>
        <w:gridCol w:w="1087"/>
        <w:gridCol w:w="1202"/>
        <w:gridCol w:w="12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9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SÜPÜRGESİ</w:t>
            </w:r>
          </w:p>
        </w:tc>
        <w:tc>
          <w:tcPr>
            <w:tcW w:w="112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</w:t>
            </w:r>
          </w:p>
        </w:tc>
        <w:tc>
          <w:tcPr>
            <w:tcW w:w="108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202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FIRIN</w:t>
            </w:r>
          </w:p>
        </w:tc>
        <w:tc>
          <w:tcPr>
            <w:tcW w:w="122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9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VACUUM CLEANERS</w:t>
            </w:r>
          </w:p>
        </w:tc>
        <w:tc>
          <w:tcPr>
            <w:tcW w:w="112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(AİR-CONDİTİONERS)</w:t>
            </w:r>
          </w:p>
        </w:tc>
        <w:tc>
          <w:tcPr>
            <w:tcW w:w="108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202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FIRIN</w:t>
            </w:r>
          </w:p>
        </w:tc>
        <w:tc>
          <w:tcPr>
            <w:tcW w:w="122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94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602.001</w:t>
            </w:r>
          </w:p>
        </w:tc>
        <w:tc>
          <w:tcPr>
            <w:tcW w:w="1129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42.563</w:t>
            </w:r>
          </w:p>
        </w:tc>
        <w:tc>
          <w:tcPr>
            <w:tcW w:w="1087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202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430.523</w:t>
            </w:r>
          </w:p>
        </w:tc>
        <w:tc>
          <w:tcPr>
            <w:tcW w:w="1227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94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567.192</w:t>
            </w:r>
          </w:p>
        </w:tc>
        <w:tc>
          <w:tcPr>
            <w:tcW w:w="1129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73.9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29.138</w:t>
            </w:r>
          </w:p>
        </w:tc>
        <w:tc>
          <w:tcPr>
            <w:tcW w:w="1087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202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408.496</w:t>
            </w:r>
          </w:p>
        </w:tc>
        <w:tc>
          <w:tcPr>
            <w:tcW w:w="1227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343"/>
        <w:gridCol w:w="1188"/>
        <w:gridCol w:w="1768"/>
        <w:gridCol w:w="1087"/>
        <w:gridCol w:w="1843"/>
        <w:gridCol w:w="1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ASPİRATÖR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76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OCAK-SETÜSTÜ</w:t>
            </w:r>
          </w:p>
        </w:tc>
        <w:tc>
          <w:tcPr>
            <w:tcW w:w="108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MİNİ-MİDİ FIRIN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ASPİRATÖR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76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OCAK-SETÜSTÜ</w:t>
            </w:r>
          </w:p>
        </w:tc>
        <w:tc>
          <w:tcPr>
            <w:tcW w:w="108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MİNİ-MİDİ FIRIN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343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228.567</w:t>
            </w:r>
          </w:p>
        </w:tc>
        <w:tc>
          <w:tcPr>
            <w:tcW w:w="118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76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430.604</w:t>
            </w:r>
          </w:p>
        </w:tc>
        <w:tc>
          <w:tcPr>
            <w:tcW w:w="1087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</w:t>
            </w:r>
          </w:p>
        </w:tc>
        <w:tc>
          <w:tcPr>
            <w:tcW w:w="1843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180.450</w:t>
            </w:r>
          </w:p>
        </w:tc>
        <w:tc>
          <w:tcPr>
            <w:tcW w:w="118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343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189.206</w:t>
            </w:r>
          </w:p>
        </w:tc>
        <w:tc>
          <w:tcPr>
            <w:tcW w:w="118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76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400.891</w:t>
            </w:r>
          </w:p>
        </w:tc>
        <w:tc>
          <w:tcPr>
            <w:tcW w:w="1087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</w:t>
            </w:r>
          </w:p>
        </w:tc>
        <w:tc>
          <w:tcPr>
            <w:tcW w:w="1843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156.536</w:t>
            </w:r>
          </w:p>
        </w:tc>
        <w:tc>
          <w:tcPr>
            <w:tcW w:w="118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343"/>
        <w:gridCol w:w="1188"/>
        <w:gridCol w:w="1984"/>
        <w:gridCol w:w="1323"/>
        <w:gridCol w:w="1843"/>
        <w:gridCol w:w="11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</w:t>
            </w:r>
          </w:p>
        </w:tc>
        <w:tc>
          <w:tcPr>
            <w:tcW w:w="132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TRİFAZE</w:t>
            </w:r>
          </w:p>
        </w:tc>
        <w:tc>
          <w:tcPr>
            <w:tcW w:w="1115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MOTOR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84" w:type="dxa"/>
          </w:tcPr>
          <w:p w:rsidR="00000000" w:rsidRDefault="007E3E44">
            <w:pPr>
              <w:pStyle w:val="Heading2"/>
            </w:pPr>
            <w:r>
              <w:t>KOMPRESÖR</w:t>
            </w:r>
          </w:p>
        </w:tc>
        <w:tc>
          <w:tcPr>
            <w:tcW w:w="132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TRİFAZE</w:t>
            </w:r>
          </w:p>
        </w:tc>
        <w:tc>
          <w:tcPr>
            <w:tcW w:w="1115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34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531.531</w:t>
            </w:r>
          </w:p>
        </w:tc>
        <w:tc>
          <w:tcPr>
            <w:tcW w:w="132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336.885</w:t>
            </w:r>
          </w:p>
        </w:tc>
        <w:tc>
          <w:tcPr>
            <w:tcW w:w="1115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34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108.863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599.587</w:t>
            </w:r>
          </w:p>
        </w:tc>
        <w:tc>
          <w:tcPr>
            <w:tcW w:w="132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237.325</w:t>
            </w:r>
          </w:p>
        </w:tc>
        <w:tc>
          <w:tcPr>
            <w:tcW w:w="1115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551"/>
        <w:gridCol w:w="1188"/>
        <w:gridCol w:w="1984"/>
        <w:gridCol w:w="14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MONOFAZE MOTOR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DANF</w:t>
            </w:r>
            <w:r>
              <w:rPr>
                <w:rFonts w:ascii="Arial" w:hAnsi="Arial"/>
                <w:b/>
                <w:sz w:val="16"/>
              </w:rPr>
              <w:t>OSS</w:t>
            </w:r>
          </w:p>
        </w:tc>
        <w:tc>
          <w:tcPr>
            <w:tcW w:w="1445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MONOFAZE MOTOR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DANFOSS</w:t>
            </w:r>
          </w:p>
        </w:tc>
        <w:tc>
          <w:tcPr>
            <w:tcW w:w="1445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551" w:type="dxa"/>
          </w:tcPr>
          <w:p w:rsidR="00000000" w:rsidRDefault="007E3E4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98.071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65.4</w:t>
            </w:r>
          </w:p>
        </w:tc>
        <w:tc>
          <w:tcPr>
            <w:tcW w:w="1984" w:type="dxa"/>
          </w:tcPr>
          <w:p w:rsidR="00000000" w:rsidRDefault="007E3E4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526.090</w:t>
            </w:r>
          </w:p>
        </w:tc>
        <w:tc>
          <w:tcPr>
            <w:tcW w:w="1445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51" w:type="dxa"/>
          </w:tcPr>
          <w:p w:rsidR="00000000" w:rsidRDefault="007E3E4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80.308</w:t>
            </w:r>
          </w:p>
        </w:tc>
        <w:tc>
          <w:tcPr>
            <w:tcW w:w="118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</w:t>
            </w:r>
          </w:p>
        </w:tc>
        <w:tc>
          <w:tcPr>
            <w:tcW w:w="1984" w:type="dxa"/>
          </w:tcPr>
          <w:p w:rsidR="00000000" w:rsidRDefault="007E3E4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420.783</w:t>
            </w:r>
          </w:p>
        </w:tc>
        <w:tc>
          <w:tcPr>
            <w:tcW w:w="1445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3E4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lastRenderedPageBreak/>
        <w:t>C.U.R.-Capacity Utilization Rate</w:t>
      </w:r>
    </w:p>
    <w:p w:rsidR="00000000" w:rsidRDefault="007E3E4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* İlgili ürün işletmesinin satışları netleştirilmiştir.</w:t>
      </w:r>
    </w:p>
    <w:p w:rsidR="00000000" w:rsidRDefault="007E3E4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1161"/>
        <w:gridCol w:w="52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itibari ile satış miktarı bilgileri aşağıda gösterilmiştir.</w:t>
            </w:r>
          </w:p>
        </w:tc>
        <w:tc>
          <w:tcPr>
            <w:tcW w:w="1161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218" w:type="dxa"/>
          </w:tcPr>
          <w:p w:rsidR="00000000" w:rsidRDefault="007E3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</w:p>
    <w:p w:rsidR="00000000" w:rsidRDefault="007E3E4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688"/>
        <w:gridCol w:w="2127"/>
        <w:gridCol w:w="1839"/>
        <w:gridCol w:w="2058"/>
        <w:gridCol w:w="20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</w:t>
            </w:r>
          </w:p>
        </w:tc>
        <w:tc>
          <w:tcPr>
            <w:tcW w:w="212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ÇAMAŞIR MAKİNESİ:</w:t>
            </w:r>
          </w:p>
        </w:tc>
        <w:tc>
          <w:tcPr>
            <w:tcW w:w="183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BULAŞIK MAKİNESİ</w:t>
            </w:r>
          </w:p>
        </w:tc>
        <w:tc>
          <w:tcPr>
            <w:tcW w:w="205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SÜPÜRGESİ</w:t>
            </w:r>
          </w:p>
        </w:tc>
        <w:tc>
          <w:tcPr>
            <w:tcW w:w="205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REFRİGERATORS</w:t>
            </w:r>
          </w:p>
        </w:tc>
        <w:tc>
          <w:tcPr>
            <w:tcW w:w="2127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ES            </w:t>
            </w:r>
          </w:p>
        </w:tc>
        <w:tc>
          <w:tcPr>
            <w:tcW w:w="1839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DISWASHERS</w:t>
            </w:r>
          </w:p>
        </w:tc>
        <w:tc>
          <w:tcPr>
            <w:tcW w:w="205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VACUUM CLEANERS</w:t>
            </w:r>
          </w:p>
        </w:tc>
        <w:tc>
          <w:tcPr>
            <w:tcW w:w="205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(AİR-CONDİTİONERS)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88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1.229.517</w:t>
            </w:r>
          </w:p>
        </w:tc>
        <w:tc>
          <w:tcPr>
            <w:tcW w:w="2127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860.456</w:t>
            </w:r>
          </w:p>
        </w:tc>
        <w:tc>
          <w:tcPr>
            <w:tcW w:w="1839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343.935</w:t>
            </w:r>
          </w:p>
        </w:tc>
        <w:tc>
          <w:tcPr>
            <w:tcW w:w="205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555.244</w:t>
            </w:r>
          </w:p>
        </w:tc>
        <w:tc>
          <w:tcPr>
            <w:tcW w:w="205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88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1.307.797</w:t>
            </w:r>
          </w:p>
        </w:tc>
        <w:tc>
          <w:tcPr>
            <w:tcW w:w="2127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840.769</w:t>
            </w:r>
          </w:p>
        </w:tc>
        <w:tc>
          <w:tcPr>
            <w:tcW w:w="1839" w:type="dxa"/>
          </w:tcPr>
          <w:p w:rsidR="00000000" w:rsidRDefault="007E3E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349.436</w:t>
            </w:r>
          </w:p>
        </w:tc>
        <w:tc>
          <w:tcPr>
            <w:tcW w:w="205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568.777</w:t>
            </w:r>
          </w:p>
        </w:tc>
        <w:tc>
          <w:tcPr>
            <w:tcW w:w="2058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88.239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202"/>
        <w:gridCol w:w="1248"/>
        <w:gridCol w:w="1568"/>
        <w:gridCol w:w="1510"/>
        <w:gridCol w:w="1510"/>
        <w:gridCol w:w="15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2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FIRIN</w:t>
            </w:r>
          </w:p>
        </w:tc>
        <w:tc>
          <w:tcPr>
            <w:tcW w:w="124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ASPİRATÖR</w:t>
            </w:r>
          </w:p>
        </w:tc>
        <w:tc>
          <w:tcPr>
            <w:tcW w:w="156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OCAK-SETÜSTÜ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MİNİ-MİDİ FIRIN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TERMOSTAT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02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FIRIN</w:t>
            </w:r>
          </w:p>
        </w:tc>
        <w:tc>
          <w:tcPr>
            <w:tcW w:w="124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ASPİRATÖR</w:t>
            </w:r>
          </w:p>
        </w:tc>
        <w:tc>
          <w:tcPr>
            <w:tcW w:w="1568" w:type="dxa"/>
          </w:tcPr>
          <w:p w:rsidR="00000000" w:rsidRDefault="007E3E44">
            <w:pPr>
              <w:pStyle w:val="Heading2"/>
            </w:pPr>
            <w:r>
              <w:t>OCAK-S</w:t>
            </w:r>
            <w:r>
              <w:t>ETÜSTÜ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MİNİ-MİDİ FIRIN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TERMOSTAT</w:t>
            </w:r>
          </w:p>
        </w:tc>
        <w:tc>
          <w:tcPr>
            <w:tcW w:w="1510" w:type="dxa"/>
          </w:tcPr>
          <w:p w:rsidR="00000000" w:rsidRDefault="007E3E44">
            <w:pPr>
              <w:pStyle w:val="Heading2"/>
            </w:pPr>
            <w:r>
              <w:t>KOMPRESÖR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202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386.583</w:t>
            </w:r>
          </w:p>
        </w:tc>
        <w:tc>
          <w:tcPr>
            <w:tcW w:w="124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207.011</w:t>
            </w:r>
          </w:p>
        </w:tc>
        <w:tc>
          <w:tcPr>
            <w:tcW w:w="156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410.758</w:t>
            </w:r>
          </w:p>
        </w:tc>
        <w:tc>
          <w:tcPr>
            <w:tcW w:w="1510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166.586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192.000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202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415.133</w:t>
            </w:r>
          </w:p>
        </w:tc>
        <w:tc>
          <w:tcPr>
            <w:tcW w:w="124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187.353</w:t>
            </w:r>
          </w:p>
        </w:tc>
        <w:tc>
          <w:tcPr>
            <w:tcW w:w="1568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385.519</w:t>
            </w:r>
          </w:p>
        </w:tc>
        <w:tc>
          <w:tcPr>
            <w:tcW w:w="1510" w:type="dxa"/>
          </w:tcPr>
          <w:p w:rsidR="00000000" w:rsidRDefault="007E3E44">
            <w:pPr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199.768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</w:t>
            </w:r>
          </w:p>
        </w:tc>
        <w:tc>
          <w:tcPr>
            <w:tcW w:w="1510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609.705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TRİFAZE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MONOFAZE MOTOR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DANFOSS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TRİFAZE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MONOFAZE MOTOR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DANFOSS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333.291</w:t>
            </w:r>
          </w:p>
        </w:tc>
        <w:tc>
          <w:tcPr>
            <w:tcW w:w="1843" w:type="dxa"/>
          </w:tcPr>
          <w:p w:rsidR="00000000" w:rsidRDefault="007E3E4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102.914</w:t>
            </w:r>
          </w:p>
        </w:tc>
        <w:tc>
          <w:tcPr>
            <w:tcW w:w="1843" w:type="dxa"/>
          </w:tcPr>
          <w:p w:rsidR="00000000" w:rsidRDefault="007E3E4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516.96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247.867</w:t>
            </w:r>
          </w:p>
        </w:tc>
        <w:tc>
          <w:tcPr>
            <w:tcW w:w="1843" w:type="dxa"/>
          </w:tcPr>
          <w:p w:rsidR="00000000" w:rsidRDefault="007E3E4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71.684</w:t>
            </w:r>
          </w:p>
        </w:tc>
        <w:tc>
          <w:tcPr>
            <w:tcW w:w="1843" w:type="dxa"/>
          </w:tcPr>
          <w:p w:rsidR="00000000" w:rsidRDefault="007E3E44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400.179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850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850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03" w:type="dxa"/>
          </w:tcPr>
          <w:p w:rsidR="00000000" w:rsidRDefault="007E3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 years  are given below.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212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</w:t>
            </w:r>
            <w:r>
              <w:rPr>
                <w:rFonts w:ascii="Arial" w:hAnsi="Arial"/>
                <w:b/>
                <w:color w:val="000000"/>
                <w:sz w:val="16"/>
              </w:rPr>
              <w:t>liyetler İçindeki Payı(%)</w:t>
            </w:r>
          </w:p>
        </w:tc>
        <w:tc>
          <w:tcPr>
            <w:tcW w:w="226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7E3E44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79.161.515.000.000.TL</w:t>
            </w:r>
          </w:p>
          <w:p w:rsidR="00000000" w:rsidRDefault="007E3E4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$273.319.410.-</w:t>
            </w:r>
          </w:p>
          <w:p w:rsidR="00000000" w:rsidRDefault="007E3E4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7E3E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</w:t>
            </w:r>
          </w:p>
        </w:tc>
        <w:tc>
          <w:tcPr>
            <w:tcW w:w="2268" w:type="dxa"/>
          </w:tcPr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43.560.920.000.000.TL</w:t>
            </w:r>
          </w:p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$140.330.100.-</w:t>
            </w:r>
          </w:p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E3E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E3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</w:p>
        </w:tc>
        <w:tc>
          <w:tcPr>
            <w:tcW w:w="1843" w:type="dxa"/>
          </w:tcPr>
          <w:p w:rsidR="00000000" w:rsidRDefault="007E3E44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132.537.888.000.</w:t>
            </w:r>
            <w:r>
              <w:rPr>
                <w:rFonts w:ascii="Arial" w:hAnsi="Arial"/>
                <w:color w:val="000000"/>
                <w:sz w:val="16"/>
              </w:rPr>
              <w:t>000.TL</w:t>
            </w:r>
          </w:p>
          <w:p w:rsidR="00000000" w:rsidRDefault="007E3E4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$245.395.973.-</w:t>
            </w:r>
          </w:p>
          <w:p w:rsidR="00000000" w:rsidRDefault="007E3E4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7E3E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</w:t>
            </w:r>
          </w:p>
        </w:tc>
        <w:tc>
          <w:tcPr>
            <w:tcW w:w="2268" w:type="dxa"/>
          </w:tcPr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104.189.212.000.000.TL</w:t>
            </w:r>
          </w:p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$209.000.000.-</w:t>
            </w:r>
          </w:p>
        </w:tc>
        <w:tc>
          <w:tcPr>
            <w:tcW w:w="2410" w:type="dxa"/>
          </w:tcPr>
          <w:p w:rsidR="00000000" w:rsidRDefault="007E3E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</w:t>
            </w:r>
          </w:p>
        </w:tc>
      </w:tr>
    </w:tbl>
    <w:p w:rsidR="00000000" w:rsidRDefault="007E3E44">
      <w:pPr>
        <w:rPr>
          <w:rFonts w:ascii="Arial" w:hAnsi="Arial"/>
          <w:b/>
          <w:sz w:val="14"/>
          <w:u w:val="single"/>
        </w:rPr>
      </w:pPr>
    </w:p>
    <w:p w:rsidR="00000000" w:rsidRDefault="007E3E44">
      <w:pPr>
        <w:rPr>
          <w:rFonts w:ascii="Arial" w:hAnsi="Arial"/>
          <w:sz w:val="1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992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992" w:type="dxa"/>
          </w:tcPr>
          <w:p w:rsidR="00000000" w:rsidRDefault="007E3E44">
            <w:pPr>
              <w:rPr>
                <w:rFonts w:ascii="Arial" w:hAnsi="Arial"/>
                <w:sz w:val="16"/>
              </w:rPr>
            </w:pPr>
          </w:p>
        </w:tc>
        <w:tc>
          <w:tcPr>
            <w:tcW w:w="5103" w:type="dxa"/>
          </w:tcPr>
          <w:p w:rsidR="00000000" w:rsidRDefault="007E3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E3E44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Gerçekleţen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MİLYON TL. )</w:t>
            </w:r>
          </w:p>
        </w:tc>
        <w:tc>
          <w:tcPr>
            <w:tcW w:w="1701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MİLYON TL.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BUZDOLABI MODELLERİ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ARGE YATIRIMLARI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TEZGAH SEVİYESİ</w:t>
            </w:r>
            <w:r>
              <w:rPr>
                <w:rFonts w:ascii="Arial" w:hAnsi="Arial"/>
                <w:color w:val="000000"/>
                <w:sz w:val="16"/>
              </w:rPr>
              <w:t xml:space="preserve"> MODERNİZASYONU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 SERİSİ ( ELEKTRİKLİ SÜPÜRGE )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İDAME YATIRIMLARI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ORBİTAL ÇAMAŞIR MAKİNASI</w:t>
            </w:r>
          </w:p>
        </w:tc>
        <w:tc>
          <w:tcPr>
            <w:tcW w:w="2410" w:type="dxa"/>
          </w:tcPr>
          <w:p w:rsidR="00000000" w:rsidRDefault="007E3E4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01/02/2000-31/06/2001</w:t>
            </w:r>
          </w:p>
          <w:p w:rsidR="00000000" w:rsidRDefault="007E3E4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01/01/2000-31/12/2000</w:t>
            </w:r>
          </w:p>
          <w:p w:rsidR="00000000" w:rsidRDefault="007E3E4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01/01/2000-31/11/2000</w:t>
            </w:r>
          </w:p>
          <w:p w:rsidR="00000000" w:rsidRDefault="007E3E4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01/01/2000-31/12/2000</w:t>
            </w:r>
          </w:p>
          <w:p w:rsidR="00000000" w:rsidRDefault="007E3E44">
            <w:pPr>
              <w:pStyle w:val="BodyText2"/>
              <w:ind w:right="253"/>
            </w:pPr>
            <w:r>
              <w:t xml:space="preserve">   01/01/2000-31/12/2000</w:t>
            </w:r>
          </w:p>
          <w:p w:rsidR="00000000" w:rsidRDefault="007E3E4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01/09/1999-31/11/2000</w:t>
            </w:r>
          </w:p>
        </w:tc>
        <w:tc>
          <w:tcPr>
            <w:tcW w:w="1984" w:type="dxa"/>
          </w:tcPr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7.923.000.TL</w:t>
            </w:r>
          </w:p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2.022.000.TL</w:t>
            </w:r>
          </w:p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1.281.000.TL</w:t>
            </w:r>
          </w:p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619.000.TL</w:t>
            </w:r>
          </w:p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7.167.000.TL</w:t>
            </w:r>
          </w:p>
          <w:p w:rsidR="00000000" w:rsidRDefault="007E3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360.000.TL</w:t>
            </w:r>
          </w:p>
        </w:tc>
        <w:tc>
          <w:tcPr>
            <w:tcW w:w="1701" w:type="dxa"/>
          </w:tcPr>
          <w:p w:rsidR="00000000" w:rsidRDefault="007E3E4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7E3E4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7E3E4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7E3E4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7E3E4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7E3E44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 TL.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992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992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03" w:type="dxa"/>
          </w:tcPr>
          <w:p w:rsidR="00000000" w:rsidRDefault="007E3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7E3E4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835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835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26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835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260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2.750.000.000.000.-TL</w:t>
            </w:r>
          </w:p>
        </w:tc>
        <w:tc>
          <w:tcPr>
            <w:tcW w:w="3260" w:type="dxa"/>
          </w:tcPr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A.Ş.</w:t>
            </w: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10.600.000.000.000.-TL</w:t>
            </w:r>
          </w:p>
        </w:tc>
        <w:tc>
          <w:tcPr>
            <w:tcW w:w="3260" w:type="dxa"/>
          </w:tcPr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%23.4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VE KART HİZ. A.Ş.</w:t>
            </w: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9.000.000.000.000.-TL</w:t>
            </w:r>
          </w:p>
        </w:tc>
        <w:tc>
          <w:tcPr>
            <w:tcW w:w="3260" w:type="dxa"/>
          </w:tcPr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50.000.000.000.000.-TL</w:t>
            </w:r>
          </w:p>
        </w:tc>
        <w:tc>
          <w:tcPr>
            <w:tcW w:w="3260" w:type="dxa"/>
          </w:tcPr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9.800.000.000.000.-TL</w:t>
            </w:r>
          </w:p>
        </w:tc>
        <w:tc>
          <w:tcPr>
            <w:tcW w:w="3260" w:type="dxa"/>
          </w:tcPr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RAMTORG JOİNT STOCK CAMPANY</w:t>
            </w: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664.226.403.800.-TL</w:t>
            </w:r>
          </w:p>
        </w:tc>
        <w:tc>
          <w:tcPr>
            <w:tcW w:w="3260" w:type="dxa"/>
          </w:tcPr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%38.35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3260" w:type="dxa"/>
          </w:tcPr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 ELEKTRİK ÜRETİMİ A.Ş.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TUNUSDAN SA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BASIC INTERNATIONAL INVESTMENTS LTD.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POLSKA SA.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ELEKTRİK ENER.GUR.SAN.TİC.A.Ş.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ARÇELİK-LG KLİMA SANAYİ VE TİC. A.Ş.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ARTESİS TEKNOLOJİ SİSTEMLERİ A.Ş. </w:t>
            </w: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6.000.000.-TD</w:t>
            </w:r>
          </w:p>
          <w:p w:rsidR="00000000" w:rsidRDefault="007E3E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20.000.000.-$ </w:t>
            </w:r>
          </w:p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12.000.000.-PLZ</w:t>
            </w:r>
          </w:p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800.000.000.000-TL</w:t>
            </w:r>
          </w:p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8.000.000.000.000.-TL</w:t>
            </w:r>
          </w:p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1.605.000.000.000.-TL</w:t>
            </w:r>
          </w:p>
        </w:tc>
        <w:tc>
          <w:tcPr>
            <w:tcW w:w="3260" w:type="dxa"/>
          </w:tcPr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%2.16</w:t>
            </w:r>
          </w:p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%55</w:t>
            </w:r>
          </w:p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%55</w:t>
            </w:r>
          </w:p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%0.00</w:t>
            </w:r>
          </w:p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%45</w:t>
            </w:r>
          </w:p>
          <w:p w:rsidR="00000000" w:rsidRDefault="007E3E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UK LTD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BEKO FRANCE 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TARIM GIDA SAN.VE TİC.A.Ş.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İNCELEME,DANIŞMANLIK,EĞİTİM ARA</w:t>
            </w:r>
            <w:r>
              <w:rPr>
                <w:rFonts w:ascii="Arial" w:hAnsi="Arial"/>
                <w:color w:val="000000"/>
                <w:sz w:val="16"/>
              </w:rPr>
              <w:t>ŞTIRMA MERKEZİ A.Ş.</w:t>
            </w:r>
          </w:p>
          <w:p w:rsidR="00000000" w:rsidRDefault="007E3E4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500.000.-GBP</w:t>
            </w:r>
          </w:p>
          <w:p w:rsidR="00000000" w:rsidRDefault="007E3E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3.000.000.-FRF</w:t>
            </w:r>
          </w:p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420.000.000.000.-TL</w:t>
            </w:r>
          </w:p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1.071.000.000.000.-TL</w:t>
            </w:r>
          </w:p>
          <w:p w:rsidR="00000000" w:rsidRDefault="007E3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150.000.00.000.-TL                                           </w:t>
            </w:r>
          </w:p>
        </w:tc>
        <w:tc>
          <w:tcPr>
            <w:tcW w:w="3260" w:type="dxa"/>
          </w:tcPr>
          <w:p w:rsidR="00000000" w:rsidRDefault="007E3E44">
            <w:pPr>
              <w:pStyle w:val="BodyText3"/>
            </w:pPr>
            <w:r>
              <w:t xml:space="preserve">                                      %30                </w:t>
            </w:r>
          </w:p>
          <w:p w:rsidR="00000000" w:rsidRDefault="007E3E4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%49.94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           %2.14</w:t>
            </w:r>
          </w:p>
          <w:p w:rsidR="00000000" w:rsidRDefault="007E3E4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%5.12</w:t>
            </w:r>
          </w:p>
          <w:p w:rsidR="00000000" w:rsidRDefault="007E3E44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%2.67</w:t>
            </w:r>
          </w:p>
        </w:tc>
      </w:tr>
    </w:tbl>
    <w:p w:rsidR="00000000" w:rsidRDefault="007E3E44"/>
    <w:p w:rsidR="00000000" w:rsidRDefault="007E3E4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126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126" w:type="dxa"/>
          </w:tcPr>
          <w:p w:rsidR="00000000" w:rsidRDefault="007E3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7E3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7E3E44">
      <w:pPr>
        <w:jc w:val="center"/>
        <w:rPr>
          <w:rFonts w:ascii="Arial" w:hAnsi="Arial"/>
          <w:b/>
          <w:i/>
          <w:sz w:val="18"/>
          <w:u w:val="single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E3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E3E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7E3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KOÇ HOLDİNG A.Ş.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15.812.730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TEKNOSAN A.Ş.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5.930.176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 (YÖNETİM KURULU BAŞKANI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1.073.892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 (YÖNETİM KURULU ÜYESİ)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21.133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1.008.485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1.126.221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</w:t>
            </w:r>
          </w:p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1.071.068                    21.051                    21.051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</w:t>
            </w:r>
          </w:p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</w:t>
            </w:r>
            <w:r>
              <w:rPr>
                <w:rFonts w:ascii="Arial" w:hAnsi="Arial"/>
                <w:color w:val="000000"/>
                <w:sz w:val="16"/>
              </w:rPr>
              <w:t>HBİ KOÇ VAKFI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42.224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EMEKLİ VAKFI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1.816.411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1.104.502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 MADENCİLİK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32.738</w:t>
            </w:r>
          </w:p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                                                         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BURLA A.Ş.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3.095.908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ÖZELLEŞTİRME İDARESİ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551.498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7E3E4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(Others)</w:t>
            </w:r>
          </w:p>
        </w:tc>
        <w:tc>
          <w:tcPr>
            <w:tcW w:w="1842" w:type="dxa"/>
          </w:tcPr>
          <w:p w:rsidR="00000000" w:rsidRDefault="007E3E4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7.670.908</w:t>
            </w:r>
          </w:p>
        </w:tc>
        <w:tc>
          <w:tcPr>
            <w:tcW w:w="2268" w:type="dxa"/>
          </w:tcPr>
          <w:p w:rsidR="00000000" w:rsidRDefault="007E3E4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18.99</w:t>
            </w:r>
          </w:p>
        </w:tc>
      </w:tr>
    </w:tbl>
    <w:p w:rsidR="00000000" w:rsidRDefault="007E3E44">
      <w:pPr>
        <w:jc w:val="both"/>
        <w:rPr>
          <w:rFonts w:ascii="Arial" w:hAnsi="Arial"/>
          <w:sz w:val="18"/>
        </w:rPr>
      </w:pPr>
    </w:p>
    <w:sectPr w:rsidR="00000000">
      <w:footerReference w:type="default" r:id="rId6"/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E3E44">
      <w:r>
        <w:separator/>
      </w:r>
    </w:p>
  </w:endnote>
  <w:endnote w:type="continuationSeparator" w:id="0">
    <w:p w:rsidR="00000000" w:rsidRDefault="007E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E3E4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7E3E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E3E44">
      <w:r>
        <w:separator/>
      </w:r>
    </w:p>
  </w:footnote>
  <w:footnote w:type="continuationSeparator" w:id="0">
    <w:p w:rsidR="00000000" w:rsidRDefault="007E3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3E44"/>
    <w:rsid w:val="007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F8451-5E4E-4575-8C9C-81D5507F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ind w:right="400"/>
      <w:jc w:val="both"/>
    </w:pPr>
    <w:rPr>
      <w:rFonts w:ascii="Arial" w:hAnsi="Arial"/>
      <w:sz w:val="16"/>
    </w:rPr>
  </w:style>
  <w:style w:type="paragraph" w:styleId="BodyTextIndent">
    <w:name w:val="Body Text Indent"/>
    <w:basedOn w:val="Normal"/>
    <w:semiHidden/>
    <w:pPr>
      <w:ind w:right="254"/>
      <w:jc w:val="right"/>
    </w:pPr>
    <w:rPr>
      <w:rFonts w:ascii="Arial" w:hAnsi="Arial"/>
      <w:color w:val="000000"/>
      <w:sz w:val="14"/>
    </w:rPr>
  </w:style>
  <w:style w:type="paragraph" w:styleId="BodyText2">
    <w:name w:val="Body Text 2"/>
    <w:basedOn w:val="Normal"/>
    <w:semiHidden/>
    <w:pPr>
      <w:ind w:right="312"/>
      <w:jc w:val="right"/>
    </w:pPr>
    <w:rPr>
      <w:rFonts w:ascii="Arial" w:hAnsi="Arial"/>
      <w:color w:val="000000"/>
      <w:sz w:val="16"/>
    </w:rPr>
  </w:style>
  <w:style w:type="paragraph" w:styleId="BodyText3">
    <w:name w:val="Body Text 3"/>
    <w:basedOn w:val="Normal"/>
    <w:semiHidden/>
    <w:pPr>
      <w:tabs>
        <w:tab w:val="decimal" w:pos="2096"/>
      </w:tabs>
      <w:ind w:right="1103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ALI BIIGIC</dc:creator>
  <cp:keywords/>
  <dc:description/>
  <cp:lastModifiedBy>ozgursheker@gmail.com</cp:lastModifiedBy>
  <cp:revision>2</cp:revision>
  <cp:lastPrinted>2000-04-05T13:51:00Z</cp:lastPrinted>
  <dcterms:created xsi:type="dcterms:W3CDTF">2022-09-01T21:56:00Z</dcterms:created>
  <dcterms:modified xsi:type="dcterms:W3CDTF">2022-09-01T21:56:00Z</dcterms:modified>
</cp:coreProperties>
</file>