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89D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AK-AL TEKSTİL SANAYİİ A.Ş.</w:t>
            </w:r>
          </w:p>
        </w:tc>
      </w:tr>
    </w:tbl>
    <w:p w:rsidR="00000000" w:rsidRDefault="00CC48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"/>
        <w:gridCol w:w="2410"/>
        <w:gridCol w:w="142"/>
        <w:gridCol w:w="1843"/>
        <w:gridCol w:w="142"/>
        <w:gridCol w:w="43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  <w:gridSpan w:val="3"/>
            <w:vAlign w:val="center"/>
          </w:tcPr>
          <w:p w:rsidR="00000000" w:rsidRDefault="00CC48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02.05.1974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  <w:gridSpan w:val="3"/>
            <w:vAlign w:val="center"/>
          </w:tcPr>
          <w:p w:rsidR="00000000" w:rsidRDefault="00CC48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  <w:gridSpan w:val="3"/>
            <w:vAlign w:val="center"/>
          </w:tcPr>
          <w:p w:rsidR="00000000" w:rsidRDefault="00CC48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AKRİLİK VE KARIŞIMLI İPLİK İMALATI VE BOYAMASI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  <w:gridSpan w:val="3"/>
            <w:vAlign w:val="center"/>
          </w:tcPr>
          <w:p w:rsidR="00000000" w:rsidRDefault="00CC48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  <w:gridSpan w:val="3"/>
            <w:vAlign w:val="center"/>
          </w:tcPr>
          <w:p w:rsidR="00000000" w:rsidRDefault="00CC48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GÜMÜŞSUYU , MİRALAY ŞEFİK BEY SOK.AKHAN 15/17 TAKSİM</w:t>
            </w:r>
          </w:p>
          <w:p w:rsidR="00000000" w:rsidRDefault="00CC48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(Head </w:t>
            </w:r>
            <w:r>
              <w:rPr>
                <w:rFonts w:ascii="Arial" w:hAnsi="Arial"/>
                <w:b/>
                <w:color w:val="000000"/>
                <w:sz w:val="16"/>
              </w:rPr>
              <w:t>Office)</w:t>
            </w:r>
          </w:p>
        </w:tc>
        <w:tc>
          <w:tcPr>
            <w:tcW w:w="142" w:type="dxa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  <w:gridSpan w:val="3"/>
            <w:vAlign w:val="center"/>
          </w:tcPr>
          <w:p w:rsidR="00000000" w:rsidRDefault="00CC48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  <w:gridSpan w:val="3"/>
            <w:vAlign w:val="center"/>
          </w:tcPr>
          <w:p w:rsidR="00000000" w:rsidRDefault="00CC48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M.A.MERİH 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  <w:gridSpan w:val="3"/>
            <w:vAlign w:val="center"/>
          </w:tcPr>
          <w:p w:rsidR="00000000" w:rsidRDefault="00CC48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  <w:gridSpan w:val="3"/>
            <w:vAlign w:val="center"/>
          </w:tcPr>
          <w:p w:rsidR="00000000" w:rsidRDefault="00CC48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ALİ RAİF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  <w:gridSpan w:val="3"/>
            <w:vAlign w:val="center"/>
          </w:tcPr>
          <w:p w:rsidR="00000000" w:rsidRDefault="00CC48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ÖMER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  <w:gridSpan w:val="3"/>
            <w:vAlign w:val="center"/>
          </w:tcPr>
          <w:p w:rsidR="00000000" w:rsidRDefault="00CC48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İSAK LODRİK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  <w:gridSpan w:val="3"/>
            <w:vAlign w:val="center"/>
          </w:tcPr>
          <w:p w:rsidR="00000000" w:rsidRDefault="00CC48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M.A.MERİH 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  <w:gridSpan w:val="3"/>
            <w:vAlign w:val="center"/>
          </w:tcPr>
          <w:p w:rsidR="00000000" w:rsidRDefault="00CC48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RAİF ALİ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  <w:gridSpan w:val="3"/>
            <w:vAlign w:val="center"/>
          </w:tcPr>
          <w:p w:rsidR="00000000" w:rsidRDefault="00CC48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  <w:gridSpan w:val="3"/>
            <w:vAlign w:val="center"/>
          </w:tcPr>
          <w:p w:rsidR="00000000" w:rsidRDefault="00CC48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0 212 251 15 63 ( 8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  <w:gridSpan w:val="3"/>
            <w:vAlign w:val="center"/>
          </w:tcPr>
          <w:p w:rsidR="00000000" w:rsidRDefault="00CC48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  <w:gridSpan w:val="3"/>
            <w:vAlign w:val="center"/>
          </w:tcPr>
          <w:p w:rsidR="00000000" w:rsidRDefault="00CC48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0 212 251 62 53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  <w:gridSpan w:val="3"/>
            <w:vAlign w:val="center"/>
          </w:tcPr>
          <w:p w:rsidR="00000000" w:rsidRDefault="00CC48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  <w:gridSpan w:val="3"/>
            <w:vAlign w:val="center"/>
          </w:tcPr>
          <w:p w:rsidR="00000000" w:rsidRDefault="00CC48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  <w:gridSpan w:val="3"/>
            <w:vAlign w:val="center"/>
          </w:tcPr>
          <w:p w:rsidR="00000000" w:rsidRDefault="00CC48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  <w:gridSpan w:val="3"/>
            <w:vAlign w:val="center"/>
          </w:tcPr>
          <w:p w:rsidR="00000000" w:rsidRDefault="00CC48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01.09.2000 – 31.08.2002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  <w:gridSpan w:val="3"/>
            <w:vAlign w:val="center"/>
          </w:tcPr>
          <w:p w:rsidR="00000000" w:rsidRDefault="00CC48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  <w:gridSpan w:val="3"/>
            <w:vAlign w:val="center"/>
          </w:tcPr>
          <w:p w:rsidR="00000000" w:rsidRDefault="00CC48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T.TEKSTİL ÖRME VE GİYİM SANAYİİ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  <w:gridSpan w:val="3"/>
            <w:vAlign w:val="center"/>
          </w:tcPr>
          <w:p w:rsidR="00000000" w:rsidRDefault="00CC48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  <w:gridSpan w:val="3"/>
            <w:vAlign w:val="center"/>
          </w:tcPr>
          <w:p w:rsidR="00000000" w:rsidRDefault="00CC48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T.TEKSTİL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  <w:gridSpan w:val="3"/>
            <w:vAlign w:val="center"/>
          </w:tcPr>
          <w:p w:rsidR="00000000" w:rsidRDefault="00CC48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  <w:gridSpan w:val="3"/>
            <w:vAlign w:val="center"/>
          </w:tcPr>
          <w:p w:rsidR="00000000" w:rsidRDefault="00CC489D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 6.000.000.000.000.-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  <w:gridSpan w:val="3"/>
            <w:vAlign w:val="center"/>
          </w:tcPr>
          <w:p w:rsidR="00000000" w:rsidRDefault="00CC489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  <w:gridSpan w:val="3"/>
            <w:vAlign w:val="center"/>
          </w:tcPr>
          <w:p w:rsidR="00000000" w:rsidRDefault="00CC48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2.359.426.625.000.-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  <w:gridSpan w:val="3"/>
            <w:vAlign w:val="center"/>
          </w:tcPr>
          <w:p w:rsidR="00000000" w:rsidRDefault="00CC48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  <w:gridSpan w:val="3"/>
            <w:vAlign w:val="center"/>
          </w:tcPr>
          <w:p w:rsidR="00000000" w:rsidRDefault="00CC48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gridSpan w:val="2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  <w:vAlign w:val="center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  <w:gridSpan w:val="3"/>
            <w:vAlign w:val="center"/>
          </w:tcPr>
          <w:p w:rsidR="00000000" w:rsidRDefault="00CC48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4395" w:type="dxa"/>
            <w:gridSpan w:val="3"/>
          </w:tcPr>
          <w:p w:rsidR="00000000" w:rsidRDefault="00CC489D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(Trading Market)</w:t>
            </w:r>
          </w:p>
          <w:p w:rsidR="00000000" w:rsidRDefault="00CC48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u w:val="single"/>
              </w:rPr>
              <w:t>GENEL BİLGİLER</w:t>
            </w:r>
            <w:r>
              <w:rPr>
                <w:rFonts w:ascii="Arial" w:hAnsi="Arial"/>
                <w:sz w:val="16"/>
              </w:rPr>
              <w:t xml:space="preserve"> . </w:t>
            </w:r>
            <w:r>
              <w:rPr>
                <w:rFonts w:ascii="Arial" w:hAnsi="Arial"/>
                <w:sz w:val="16"/>
              </w:rPr>
              <w:sym w:font="Monotype Sorts" w:char="F073"/>
            </w:r>
            <w:r>
              <w:rPr>
                <w:rFonts w:ascii="Arial" w:hAnsi="Arial"/>
                <w:sz w:val="16"/>
              </w:rPr>
              <w:t>AKKÖK GRUBUNA BAĞLI OLARAK 1974 SENESİNDE KURULAN AK-AL MARKASINI, 2</w:t>
            </w:r>
            <w:r>
              <w:rPr>
                <w:rFonts w:ascii="Arial" w:hAnsi="Arial"/>
                <w:sz w:val="16"/>
              </w:rPr>
              <w:t>7 YILDIR YURTİÇİ VE YURTDIŞI PİYASALARINDA BAŞARI İLE DUYURMAKTADIR. AK-AL YILLIK 27.329 TON KAMGARN , YARI KAMGARN VE OPEN END ÜRETİM KAPASİTESİNE SAHİP DÖRT FABRİKASINDA AKRİLİK VE YÜN BAŞTA GELMEK ÜZERE MUHTELİF TABİİ , SUNİ VE SENTETİK HAMMADDEDEN , NM</w:t>
            </w:r>
            <w:r>
              <w:rPr>
                <w:rFonts w:ascii="Arial" w:hAnsi="Arial"/>
                <w:sz w:val="16"/>
              </w:rPr>
              <w:t xml:space="preserve"> 2 İLA NM 60 İNCELİKLERİNDE MAMUL İPLİK ÜRETEREK , ÖRME DOKUMA VE HALI SANAYİLERİNE HİZMET VERMEKTEDİR. TOPLAM 140.000 M</w:t>
            </w:r>
            <w:r>
              <w:rPr>
                <w:rFonts w:ascii="Arial" w:hAnsi="Arial"/>
                <w:sz w:val="16"/>
                <w:vertAlign w:val="superscript"/>
              </w:rPr>
              <w:t xml:space="preserve">2  </w:t>
            </w:r>
            <w:r>
              <w:rPr>
                <w:rFonts w:ascii="Arial" w:hAnsi="Arial"/>
                <w:sz w:val="16"/>
              </w:rPr>
              <w:t>KAPALI ALANDA YER ALAN FABRİKALARI VE 1978 ÇALIŞANI İLE AK-AL ÜRETİMİNİN % 48 ‘ INI ABD , KANADA , ARJANTİN VE BREZİLYA BAŞTA OLMAK Ü</w:t>
            </w:r>
            <w:r>
              <w:rPr>
                <w:rFonts w:ascii="Arial" w:hAnsi="Arial"/>
                <w:sz w:val="16"/>
              </w:rPr>
              <w:t>ZERE KUZEY VE GÜNEY AMERİKA ‘YA ; İNGİLTERE , FRANSA , İTALYA , ALMANYA , İSPANYA, PORTEKİZ BELÇİKA ,ROMANYA , YUNANİSTAN GİBİ AVRUPA ÜLKELERİNE VE MISIR ,SURİYE,LÜBNAN ,ÜRDÜN GİBİ ORTADOĞU ÜLKELERİNE İHRAÇ ETMEKTE TÜRK VE ULUSLARARASI İPLİK ÜRETİCİLERİ AR</w:t>
            </w:r>
            <w:r>
              <w:rPr>
                <w:rFonts w:ascii="Arial" w:hAnsi="Arial"/>
                <w:sz w:val="16"/>
              </w:rPr>
              <w:t>ASINDA ÖN SIRALARDA GELMEKTEDİR. 2000 YILI İHRACATI 47 MİLYON USD’ DIR.KARIŞIMLI İPLİKLERİN ÜRETİMİNDE YÜN , MOHER , NAYLON , NAYLON FİLAMENT ,POLYESTER FİLAMENT , VİSKOZ , PAMUK İPLİĞİ VE PAMUK ELYAFI KULLANILMAKTA ; TRİKO , DOKUMA , EL ÖRGÜSÜ , DÖŞEMELİK</w:t>
            </w:r>
            <w:r>
              <w:rPr>
                <w:rFonts w:ascii="Arial" w:hAnsi="Arial"/>
                <w:sz w:val="16"/>
              </w:rPr>
              <w:t xml:space="preserve"> VE HALI İPLİĞİ ÜRETİMİ İÇİN GEREKLİ TÜM ELYAF </w:t>
            </w:r>
            <w:r>
              <w:rPr>
                <w:rFonts w:ascii="Arial" w:hAnsi="Arial"/>
                <w:sz w:val="16"/>
              </w:rPr>
              <w:sym w:font="Monotype Sorts" w:char="F073"/>
            </w:r>
            <w:r>
              <w:rPr>
                <w:rFonts w:ascii="Arial" w:hAnsi="Arial"/>
                <w:sz w:val="16"/>
              </w:rPr>
              <w:t>AKKÖK ŞİRKETLER GURUBUNA BAĞLI VE DÜNYANIN TEK ÇATI ALTINDA ÜRETİM YAPAN EN BÜYÜK AKRİLİK ELYAF ÜRETİCİSİ OLMA ÖZELLİĞİNE SAHİP AK-SA TARAFINDAN SAĞLANMAKTADIR.</w:t>
            </w:r>
          </w:p>
          <w:p w:rsidR="00000000" w:rsidRDefault="00CC489D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ÜRETİM SÜRECİNDE GRUP BÜNYESİNDEKİ DİĞER FİRMAL</w:t>
            </w:r>
            <w:r>
              <w:rPr>
                <w:rFonts w:ascii="Arial" w:hAnsi="Arial"/>
                <w:sz w:val="16"/>
              </w:rPr>
              <w:t xml:space="preserve">ARIN ÜRETİM VE HİZMET ALANLARINDAN YARARLANAN AK-AL’ IN ELEKTRİK VE KİMYEVİ MADDE İHTİYAÇLARI DA YİNE </w:t>
            </w:r>
            <w:r>
              <w:rPr>
                <w:rFonts w:ascii="Arial" w:hAnsi="Arial"/>
                <w:sz w:val="16"/>
              </w:rPr>
              <w:sym w:font="Monotype Sorts" w:char="F073"/>
            </w:r>
            <w:r>
              <w:rPr>
                <w:rFonts w:ascii="Arial" w:hAnsi="Arial"/>
                <w:sz w:val="16"/>
              </w:rPr>
              <w:t>AKKÖK ŞİRKETLER GRUBUNA BAĞLI FİRMALAR OLAN AK-ENERJİ VE AK-KİM TARAFINCA TEDARİK EDİLMEKTEDİR.</w:t>
            </w:r>
          </w:p>
        </w:tc>
        <w:tc>
          <w:tcPr>
            <w:tcW w:w="142" w:type="dxa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394" w:type="dxa"/>
          </w:tcPr>
          <w:p w:rsidR="00000000" w:rsidRDefault="00CC489D">
            <w:pPr>
              <w:jc w:val="both"/>
              <w:rPr>
                <w:rFonts w:ascii="Arial" w:hAnsi="Arial"/>
                <w:color w:val="000000"/>
                <w:sz w:val="16"/>
                <w:lang w:val="en-US"/>
              </w:rPr>
            </w:pPr>
          </w:p>
          <w:p w:rsidR="00000000" w:rsidRDefault="00CC489D">
            <w:pPr>
              <w:jc w:val="both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 xml:space="preserve">AK-AL WAS FOUNDED IN 1974 AS A MEMBER OF 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sym w:font="Monotype Sorts" w:char="F073"/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AKKÖK GROUP O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F COMPANIES AND HAS BEEN SUCCESSFULLY PROMOTING ITS TRADEMARK ON LOCAL AND INTERNATIONAL MARKETS OVER THE PAST 27 YEARS. AK-AL IS SUPPLYING THE KNITTING , WEAVING AND CARPET INDUSTRIES WITH FINISHED YARN FROM NM 2 TO NM 60 PRIMARILY MADE OF ARCYLİC AND WOO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L IN ADDITION TO VARIOUS TYPES OF NATURAL , ARTIFICIAL AND SYNTHETIC RAW MATERIALS AT ITS FOUR FACTORIES WITH AN ANNUAL OUTPUT OF 27.329 TONS OF WORSTED ,SEMI –WORSTED AND OPEN-END YARN. WITH ITS FACTORIES , HAVING A TOTAL FLOOR AREA OF 140.000 SQUARE METE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RS AND 1.978 EMPLOYEES , AK-AL EXPORTS 48 % OF ITS OUTPUT TO NORTH AND SOUTH AMERICA , PARTICULARLY THE U.S.A.. CANADA . ARGENTINA. BRAZIL AND TO EUROPEAN COUNTRIES INCLUDING U.K.. FRANCE. ITALY. GERMANY, SPAIN ,PORTUGAL, BELGIUM ,ROMANIA AND GREECE AS WEL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L AS SOME MIDDLE EASTERN CONTRIES INCLUDING EGYPT. SYRIA, LEBANON AND JORDAN , AK-AL IS ONE OF THE LEADING YARN PRODUCERS IN THE WORLD. EXPORT VOLUME IN 2000 47 MILLION USD. IN THE PRODUCTION OF MIXED YARNS THE COMPANY USES WOOL, MOHAIR , NYLON FLAMENT, VI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 xml:space="preserve">SCOSE, COTTON YARN AND COTTON FIBER. ALL ACRYLIC FIBERS REQUİRED FOR PRODUCTION  OF KNITTWEAR, WEAVING HAND KNITTING YARN, UPHOLSTERY FABRIC YARN AND CARPET YARN IS SUPPLIED BY AK-SA A MEMBER OF 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sym w:font="Monotype Sorts" w:char="F073"/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AKKÖK GROUP OF COMPANIES AND THE LARGEST ACRYLIC FIBER PRODU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 xml:space="preserve">CER IN THE WORLD WITH PRODUCTION UNDER A SINGLE ROOF. TAKING ADVANTAGE OF PRODUCTS AND SERVICES PROVIDED BY OTHER COMPANIES WITHIN THE GROUP , ELECTRICITY AND CHEMICALS NEEDED BY AK-AL ARE SUPPLIED BY AK-ENERJİ AND AK-KİM , BOTH MEMBERS OF 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sym w:font="Monotype Sorts" w:char="F073"/>
            </w:r>
            <w:r>
              <w:rPr>
                <w:rFonts w:ascii="Arial" w:hAnsi="Arial"/>
                <w:color w:val="000000"/>
                <w:sz w:val="16"/>
                <w:lang w:val="en-US"/>
              </w:rPr>
              <w:t xml:space="preserve">AKKÖK GROUP OF 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 xml:space="preserve">COMPANIES. </w:t>
            </w:r>
          </w:p>
        </w:tc>
      </w:tr>
    </w:tbl>
    <w:p w:rsidR="00000000" w:rsidRDefault="00CC489D">
      <w:pPr>
        <w:rPr>
          <w:rFonts w:ascii="Arial" w:hAnsi="Arial"/>
          <w:sz w:val="16"/>
        </w:rPr>
      </w:pPr>
    </w:p>
    <w:p w:rsidR="00000000" w:rsidRDefault="00CC489D">
      <w:pPr>
        <w:rPr>
          <w:rFonts w:ascii="Arial" w:hAnsi="Arial"/>
          <w:sz w:val="16"/>
        </w:rPr>
      </w:pPr>
    </w:p>
    <w:p w:rsidR="00000000" w:rsidRDefault="00CC48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48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C48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48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C489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489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C48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KAMGARN( TON )</w:t>
            </w:r>
          </w:p>
        </w:tc>
        <w:tc>
          <w:tcPr>
            <w:tcW w:w="806" w:type="dxa"/>
          </w:tcPr>
          <w:p w:rsidR="00000000" w:rsidRDefault="00CC48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C48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C48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YARI KAMGARN( TON )</w:t>
            </w:r>
          </w:p>
        </w:tc>
        <w:tc>
          <w:tcPr>
            <w:tcW w:w="818" w:type="dxa"/>
          </w:tcPr>
          <w:p w:rsidR="00000000" w:rsidRDefault="00CC48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C48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C48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OPENEND(TON)</w:t>
            </w:r>
          </w:p>
        </w:tc>
        <w:tc>
          <w:tcPr>
            <w:tcW w:w="818" w:type="dxa"/>
          </w:tcPr>
          <w:p w:rsidR="00000000" w:rsidRDefault="00CC48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C48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48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C489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WORSTED( TONS )</w:t>
            </w:r>
          </w:p>
        </w:tc>
        <w:tc>
          <w:tcPr>
            <w:tcW w:w="806" w:type="dxa"/>
          </w:tcPr>
          <w:p w:rsidR="00000000" w:rsidRDefault="00CC48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C48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C48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SEMIWORSTED (TONS)</w:t>
            </w:r>
          </w:p>
        </w:tc>
        <w:tc>
          <w:tcPr>
            <w:tcW w:w="818" w:type="dxa"/>
          </w:tcPr>
          <w:p w:rsidR="00000000" w:rsidRDefault="00CC48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C48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C48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OPENEND(TONS)</w:t>
            </w:r>
          </w:p>
        </w:tc>
        <w:tc>
          <w:tcPr>
            <w:tcW w:w="818" w:type="dxa"/>
          </w:tcPr>
          <w:p w:rsidR="00000000" w:rsidRDefault="00CC48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C48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48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CC489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19.707</w:t>
            </w:r>
          </w:p>
        </w:tc>
        <w:tc>
          <w:tcPr>
            <w:tcW w:w="806" w:type="dxa"/>
          </w:tcPr>
          <w:p w:rsidR="00000000" w:rsidRDefault="00CC489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CC489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1.599</w:t>
            </w:r>
          </w:p>
        </w:tc>
        <w:tc>
          <w:tcPr>
            <w:tcW w:w="818" w:type="dxa"/>
          </w:tcPr>
          <w:p w:rsidR="00000000" w:rsidRDefault="00CC489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CC489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2.465</w:t>
            </w:r>
          </w:p>
        </w:tc>
        <w:tc>
          <w:tcPr>
            <w:tcW w:w="818" w:type="dxa"/>
          </w:tcPr>
          <w:p w:rsidR="00000000" w:rsidRDefault="00CC489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48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CC489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22.268</w:t>
            </w:r>
          </w:p>
        </w:tc>
        <w:tc>
          <w:tcPr>
            <w:tcW w:w="806" w:type="dxa"/>
          </w:tcPr>
          <w:p w:rsidR="00000000" w:rsidRDefault="00CC489D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CC489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2.508</w:t>
            </w:r>
          </w:p>
        </w:tc>
        <w:tc>
          <w:tcPr>
            <w:tcW w:w="818" w:type="dxa"/>
          </w:tcPr>
          <w:p w:rsidR="00000000" w:rsidRDefault="00CC489D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CC489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2.552</w:t>
            </w:r>
          </w:p>
        </w:tc>
        <w:tc>
          <w:tcPr>
            <w:tcW w:w="818" w:type="dxa"/>
          </w:tcPr>
          <w:p w:rsidR="00000000" w:rsidRDefault="00CC489D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C489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C489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C489D">
      <w:pPr>
        <w:rPr>
          <w:rFonts w:ascii="Arial" w:hAnsi="Arial"/>
          <w:sz w:val="16"/>
        </w:rPr>
      </w:pPr>
    </w:p>
    <w:p w:rsidR="00000000" w:rsidRDefault="00CC48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48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</w:t>
            </w:r>
            <w:r>
              <w:rPr>
                <w:rFonts w:ascii="Arial" w:hAnsi="Arial"/>
                <w:sz w:val="16"/>
              </w:rPr>
              <w:t xml:space="preserve"> miktarı bilgileri aşağıda gösterilmiştir.</w:t>
            </w:r>
          </w:p>
        </w:tc>
        <w:tc>
          <w:tcPr>
            <w:tcW w:w="1134" w:type="dxa"/>
          </w:tcPr>
          <w:p w:rsidR="00000000" w:rsidRDefault="00CC48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48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C489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489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C48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KAMGARN(TON )</w:t>
            </w:r>
          </w:p>
        </w:tc>
        <w:tc>
          <w:tcPr>
            <w:tcW w:w="1990" w:type="dxa"/>
          </w:tcPr>
          <w:p w:rsidR="00000000" w:rsidRDefault="00CC48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YARIKAMGARN(TON)</w:t>
            </w:r>
          </w:p>
        </w:tc>
        <w:tc>
          <w:tcPr>
            <w:tcW w:w="1908" w:type="dxa"/>
          </w:tcPr>
          <w:p w:rsidR="00000000" w:rsidRDefault="00CC48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OPENEND(TON)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48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C48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WORSYED(TONS)</w:t>
            </w:r>
          </w:p>
        </w:tc>
        <w:tc>
          <w:tcPr>
            <w:tcW w:w="1990" w:type="dxa"/>
          </w:tcPr>
          <w:p w:rsidR="00000000" w:rsidRDefault="00CC48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SEMIWORSTES(TONS)</w:t>
            </w:r>
          </w:p>
        </w:tc>
        <w:tc>
          <w:tcPr>
            <w:tcW w:w="1908" w:type="dxa"/>
          </w:tcPr>
          <w:p w:rsidR="00000000" w:rsidRDefault="00CC48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OPENEND(TONS)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48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CC489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20.094</w:t>
            </w:r>
          </w:p>
        </w:tc>
        <w:tc>
          <w:tcPr>
            <w:tcW w:w="1990" w:type="dxa"/>
          </w:tcPr>
          <w:p w:rsidR="00000000" w:rsidRDefault="00CC489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1.679</w:t>
            </w:r>
          </w:p>
        </w:tc>
        <w:tc>
          <w:tcPr>
            <w:tcW w:w="1908" w:type="dxa"/>
          </w:tcPr>
          <w:p w:rsidR="00000000" w:rsidRDefault="00CC489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C48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CC489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22.091</w:t>
            </w:r>
          </w:p>
        </w:tc>
        <w:tc>
          <w:tcPr>
            <w:tcW w:w="1990" w:type="dxa"/>
          </w:tcPr>
          <w:p w:rsidR="00000000" w:rsidRDefault="00CC489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2.536</w:t>
            </w:r>
          </w:p>
        </w:tc>
        <w:tc>
          <w:tcPr>
            <w:tcW w:w="1908" w:type="dxa"/>
          </w:tcPr>
          <w:p w:rsidR="00000000" w:rsidRDefault="00CC489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2.314</w:t>
            </w:r>
          </w:p>
        </w:tc>
      </w:tr>
    </w:tbl>
    <w:p w:rsidR="00000000" w:rsidRDefault="00CC489D">
      <w:pPr>
        <w:rPr>
          <w:rFonts w:ascii="Arial" w:hAnsi="Arial"/>
          <w:sz w:val="16"/>
        </w:rPr>
      </w:pPr>
    </w:p>
    <w:p w:rsidR="00000000" w:rsidRDefault="00CC48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48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C48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48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C489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84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C48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CC48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C48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CC48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</w:t>
            </w:r>
            <w:r>
              <w:rPr>
                <w:rFonts w:ascii="Arial" w:hAnsi="Arial"/>
                <w:b/>
                <w:color w:val="000000"/>
                <w:sz w:val="16"/>
              </w:rPr>
              <w:t>cat (TL)</w:t>
            </w:r>
          </w:p>
        </w:tc>
        <w:tc>
          <w:tcPr>
            <w:tcW w:w="2269" w:type="dxa"/>
          </w:tcPr>
          <w:p w:rsidR="00000000" w:rsidRDefault="00CC48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C48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CC48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C48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CC48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C48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C48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810" w:type="dxa"/>
          </w:tcPr>
          <w:p w:rsidR="00000000" w:rsidRDefault="00CC489D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4.287.927.676.412TL</w:t>
            </w:r>
          </w:p>
          <w:p w:rsidR="00000000" w:rsidRDefault="00CC489D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10.269.724.14 $</w:t>
            </w:r>
          </w:p>
        </w:tc>
        <w:tc>
          <w:tcPr>
            <w:tcW w:w="2410" w:type="dxa"/>
          </w:tcPr>
          <w:p w:rsidR="00000000" w:rsidRDefault="00CC489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  <w:tc>
          <w:tcPr>
            <w:tcW w:w="1843" w:type="dxa"/>
          </w:tcPr>
          <w:p w:rsidR="00000000" w:rsidRDefault="00CC489D">
            <w:pPr>
              <w:tabs>
                <w:tab w:val="left" w:pos="1499"/>
              </w:tabs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16.777.854.565.060 TL</w:t>
            </w:r>
          </w:p>
          <w:p w:rsidR="00000000" w:rsidRDefault="00CC489D">
            <w:pPr>
              <w:tabs>
                <w:tab w:val="left" w:pos="1499"/>
              </w:tabs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39.889.162   $</w:t>
            </w:r>
          </w:p>
        </w:tc>
        <w:tc>
          <w:tcPr>
            <w:tcW w:w="2268" w:type="dxa"/>
          </w:tcPr>
          <w:p w:rsidR="00000000" w:rsidRDefault="00CC489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C48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10" w:type="dxa"/>
          </w:tcPr>
          <w:p w:rsidR="00000000" w:rsidRDefault="00CC489D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7.144.290.886.310 TL</w:t>
            </w:r>
          </w:p>
          <w:p w:rsidR="00000000" w:rsidRDefault="00CC489D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11.458.034.71 $</w:t>
            </w:r>
          </w:p>
        </w:tc>
        <w:tc>
          <w:tcPr>
            <w:tcW w:w="2410" w:type="dxa"/>
          </w:tcPr>
          <w:p w:rsidR="00000000" w:rsidRDefault="00CC489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  <w:tc>
          <w:tcPr>
            <w:tcW w:w="1843" w:type="dxa"/>
          </w:tcPr>
          <w:p w:rsidR="00000000" w:rsidRDefault="00CC489D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29.393.050.5</w:t>
            </w:r>
            <w:r>
              <w:rPr>
                <w:rFonts w:ascii="Arial" w:hAnsi="Arial"/>
                <w:color w:val="000000"/>
                <w:sz w:val="16"/>
              </w:rPr>
              <w:t>84.341 TL</w:t>
            </w:r>
          </w:p>
          <w:p w:rsidR="00000000" w:rsidRDefault="00CC489D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47.140.667.87 $</w:t>
            </w:r>
          </w:p>
        </w:tc>
        <w:tc>
          <w:tcPr>
            <w:tcW w:w="2268" w:type="dxa"/>
          </w:tcPr>
          <w:p w:rsidR="00000000" w:rsidRDefault="00CC489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</w:tr>
    </w:tbl>
    <w:p w:rsidR="00000000" w:rsidRDefault="00CC489D">
      <w:pPr>
        <w:rPr>
          <w:rFonts w:ascii="Arial" w:hAnsi="Arial"/>
          <w:b/>
          <w:sz w:val="16"/>
          <w:u w:val="single"/>
        </w:rPr>
      </w:pPr>
    </w:p>
    <w:p w:rsidR="00000000" w:rsidRDefault="00CC489D">
      <w:pPr>
        <w:rPr>
          <w:rFonts w:ascii="Arial" w:hAnsi="Arial"/>
          <w:sz w:val="16"/>
        </w:rPr>
      </w:pPr>
    </w:p>
    <w:p w:rsidR="00000000" w:rsidRDefault="00CC489D">
      <w:pPr>
        <w:rPr>
          <w:rFonts w:ascii="Arial" w:hAnsi="Arial"/>
          <w:sz w:val="16"/>
        </w:rPr>
      </w:pPr>
    </w:p>
    <w:p w:rsidR="00000000" w:rsidRDefault="00CC489D">
      <w:pPr>
        <w:rPr>
          <w:rFonts w:ascii="Arial" w:hAnsi="Arial"/>
          <w:sz w:val="16"/>
        </w:rPr>
      </w:pPr>
    </w:p>
    <w:p w:rsidR="00000000" w:rsidRDefault="00CC489D">
      <w:pPr>
        <w:rPr>
          <w:rFonts w:ascii="Arial" w:hAnsi="Arial"/>
          <w:sz w:val="16"/>
        </w:rPr>
      </w:pPr>
    </w:p>
    <w:p w:rsidR="00000000" w:rsidRDefault="00CC489D">
      <w:pPr>
        <w:rPr>
          <w:rFonts w:ascii="Arial" w:hAnsi="Arial"/>
          <w:sz w:val="16"/>
        </w:rPr>
      </w:pPr>
    </w:p>
    <w:p w:rsidR="00000000" w:rsidRDefault="00CC489D">
      <w:pPr>
        <w:rPr>
          <w:rFonts w:ascii="Arial" w:hAnsi="Arial"/>
          <w:sz w:val="16"/>
        </w:rPr>
      </w:pPr>
    </w:p>
    <w:p w:rsidR="00000000" w:rsidRDefault="00CC489D">
      <w:pPr>
        <w:rPr>
          <w:rFonts w:ascii="Arial" w:hAnsi="Arial"/>
          <w:sz w:val="16"/>
        </w:rPr>
      </w:pPr>
    </w:p>
    <w:p w:rsidR="00000000" w:rsidRDefault="00CC48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C48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C489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C48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C489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C489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CC48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C48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C48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Gerçekleşen Tutar </w:t>
            </w: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C48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C48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C48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C489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C48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C48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C48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C48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YALOVA DARBOĞAZ GİDERME</w:t>
            </w:r>
          </w:p>
          <w:p w:rsidR="00000000" w:rsidRDefault="00CC48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YALOVA BOTTLENECK AVOİDANCE</w:t>
            </w:r>
          </w:p>
        </w:tc>
        <w:tc>
          <w:tcPr>
            <w:tcW w:w="2043" w:type="dxa"/>
            <w:vAlign w:val="center"/>
          </w:tcPr>
          <w:p w:rsidR="00000000" w:rsidRDefault="00CC489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01.01.1996/30.06.2001</w:t>
            </w:r>
          </w:p>
        </w:tc>
        <w:tc>
          <w:tcPr>
            <w:tcW w:w="2209" w:type="dxa"/>
            <w:vAlign w:val="center"/>
          </w:tcPr>
          <w:p w:rsidR="00000000" w:rsidRDefault="00CC489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228.178</w:t>
            </w:r>
          </w:p>
        </w:tc>
        <w:tc>
          <w:tcPr>
            <w:tcW w:w="1843" w:type="dxa"/>
            <w:vAlign w:val="center"/>
          </w:tcPr>
          <w:p w:rsidR="00000000" w:rsidRDefault="00CC489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178.767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C48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YALOVA FANTEZİ YATIRIM</w:t>
            </w:r>
          </w:p>
          <w:p w:rsidR="00000000" w:rsidRDefault="00CC48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YALOVA FANTASY INVESTMENT</w:t>
            </w:r>
          </w:p>
        </w:tc>
        <w:tc>
          <w:tcPr>
            <w:tcW w:w="2043" w:type="dxa"/>
            <w:vAlign w:val="center"/>
          </w:tcPr>
          <w:p w:rsidR="00000000" w:rsidRDefault="00CC489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19.07.2000/19.07.2002</w:t>
            </w:r>
          </w:p>
        </w:tc>
        <w:tc>
          <w:tcPr>
            <w:tcW w:w="2209" w:type="dxa"/>
            <w:vAlign w:val="center"/>
          </w:tcPr>
          <w:p w:rsidR="00000000" w:rsidRDefault="00CC489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6.687.604</w:t>
            </w:r>
          </w:p>
        </w:tc>
        <w:tc>
          <w:tcPr>
            <w:tcW w:w="1843" w:type="dxa"/>
            <w:vAlign w:val="center"/>
          </w:tcPr>
          <w:p w:rsidR="00000000" w:rsidRDefault="00CC489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1.068.890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C48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YALOVA BOY.KALİTE GELİŞTİRME</w:t>
            </w:r>
          </w:p>
          <w:p w:rsidR="00000000" w:rsidRDefault="00CC48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YALOVA DYE QUALİTY IMPROVEMENT</w:t>
            </w:r>
          </w:p>
        </w:tc>
        <w:tc>
          <w:tcPr>
            <w:tcW w:w="2043" w:type="dxa"/>
            <w:vAlign w:val="center"/>
          </w:tcPr>
          <w:p w:rsidR="00000000" w:rsidRDefault="00CC489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19.07.1999/19.07.2001</w:t>
            </w:r>
          </w:p>
        </w:tc>
        <w:tc>
          <w:tcPr>
            <w:tcW w:w="2209" w:type="dxa"/>
            <w:vAlign w:val="center"/>
          </w:tcPr>
          <w:p w:rsidR="00000000" w:rsidRDefault="00CC489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559.469</w:t>
            </w:r>
          </w:p>
        </w:tc>
        <w:tc>
          <w:tcPr>
            <w:tcW w:w="1843" w:type="dxa"/>
            <w:vAlign w:val="center"/>
          </w:tcPr>
          <w:p w:rsidR="00000000" w:rsidRDefault="00CC489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68.677</w:t>
            </w:r>
          </w:p>
        </w:tc>
      </w:tr>
    </w:tbl>
    <w:p w:rsidR="00000000" w:rsidRDefault="00CC489D">
      <w:pPr>
        <w:pStyle w:val="BodyText2"/>
        <w:rPr>
          <w:color w:val="auto"/>
        </w:rPr>
      </w:pPr>
      <w:r>
        <w:rPr>
          <w:color w:val="auto"/>
        </w:rPr>
        <w:t>Önemli Not: Eğer fiilen başlamayıp da projesi devam ede</w:t>
      </w:r>
      <w:r>
        <w:rPr>
          <w:color w:val="auto"/>
        </w:rPr>
        <w:t>n yatırımlarınız var ise, sözkonusu projeyi yatırımın adından sonra “Proje” kelimesini ekleyerek belirtiniz.</w:t>
      </w:r>
    </w:p>
    <w:p w:rsidR="00000000" w:rsidRDefault="00CC489D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48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C48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C48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</w:t>
            </w:r>
            <w:r>
              <w:rPr>
                <w:rFonts w:ascii="Arial" w:hAnsi="Arial"/>
                <w:i/>
                <w:sz w:val="16"/>
              </w:rPr>
              <w:t>n their  equity capital are shown below.</w:t>
            </w:r>
          </w:p>
        </w:tc>
      </w:tr>
    </w:tbl>
    <w:p w:rsidR="00000000" w:rsidRDefault="00CC489D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C48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C48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C48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C489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C48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C48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C48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AK-PA TEKS.İHR.PAZ.A.Ş.</w:t>
            </w:r>
          </w:p>
        </w:tc>
        <w:tc>
          <w:tcPr>
            <w:tcW w:w="2299" w:type="dxa"/>
          </w:tcPr>
          <w:p w:rsidR="00000000" w:rsidRDefault="00CC48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 TL</w:t>
            </w:r>
          </w:p>
        </w:tc>
        <w:tc>
          <w:tcPr>
            <w:tcW w:w="2342" w:type="dxa"/>
          </w:tcPr>
          <w:p w:rsidR="00000000" w:rsidRDefault="00CC48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C48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AKTOPS TEKSTİL SAN.A.Ş.</w:t>
            </w:r>
          </w:p>
        </w:tc>
        <w:tc>
          <w:tcPr>
            <w:tcW w:w="2299" w:type="dxa"/>
          </w:tcPr>
          <w:p w:rsidR="00000000" w:rsidRDefault="00CC48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 TL</w:t>
            </w:r>
          </w:p>
        </w:tc>
        <w:tc>
          <w:tcPr>
            <w:tcW w:w="2342" w:type="dxa"/>
          </w:tcPr>
          <w:p w:rsidR="00000000" w:rsidRDefault="00CC48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C48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HAVACILIK</w:t>
            </w:r>
            <w:r>
              <w:rPr>
                <w:rFonts w:ascii="Arial" w:hAnsi="Arial"/>
                <w:color w:val="000000"/>
                <w:sz w:val="16"/>
              </w:rPr>
              <w:t xml:space="preserve"> VE ULAŞTIRMA HİZM.A.Ş.</w:t>
            </w:r>
          </w:p>
        </w:tc>
        <w:tc>
          <w:tcPr>
            <w:tcW w:w="2299" w:type="dxa"/>
          </w:tcPr>
          <w:p w:rsidR="00000000" w:rsidRDefault="00CC489D">
            <w:pPr>
              <w:ind w:left="218" w:hanging="21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6.500.000.000.000 TL</w:t>
            </w:r>
          </w:p>
        </w:tc>
        <w:tc>
          <w:tcPr>
            <w:tcW w:w="2342" w:type="dxa"/>
          </w:tcPr>
          <w:p w:rsidR="00000000" w:rsidRDefault="00CC48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C48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AK-ENERJİ ELK.OTO PRD.GR.A.Ş.</w:t>
            </w:r>
          </w:p>
        </w:tc>
        <w:tc>
          <w:tcPr>
            <w:tcW w:w="2299" w:type="dxa"/>
          </w:tcPr>
          <w:p w:rsidR="00000000" w:rsidRDefault="00CC48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13.500.000.000.000 TL</w:t>
            </w:r>
          </w:p>
        </w:tc>
        <w:tc>
          <w:tcPr>
            <w:tcW w:w="2342" w:type="dxa"/>
          </w:tcPr>
          <w:p w:rsidR="00000000" w:rsidRDefault="00CC48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C48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AKHAN BAK.YÖN.SERV.GÜV.MLZ.A.Ş.</w:t>
            </w:r>
          </w:p>
        </w:tc>
        <w:tc>
          <w:tcPr>
            <w:tcW w:w="2299" w:type="dxa"/>
          </w:tcPr>
          <w:p w:rsidR="00000000" w:rsidRDefault="00CC48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CC48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C48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BOZÜYÜK ORM.ÜRN.SAN.TES.A.Ş.</w:t>
            </w:r>
          </w:p>
        </w:tc>
        <w:tc>
          <w:tcPr>
            <w:tcW w:w="2299" w:type="dxa"/>
          </w:tcPr>
          <w:p w:rsidR="00000000" w:rsidRDefault="00CC48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CC48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C48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AKROM AKAL TEXTİLE ROMANİA S.R.L.</w:t>
            </w:r>
          </w:p>
        </w:tc>
        <w:tc>
          <w:tcPr>
            <w:tcW w:w="2299" w:type="dxa"/>
          </w:tcPr>
          <w:p w:rsidR="00000000" w:rsidRDefault="00CC48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4.91</w:t>
            </w:r>
            <w:r>
              <w:rPr>
                <w:rFonts w:ascii="Arial" w:hAnsi="Arial"/>
                <w:color w:val="000000"/>
                <w:sz w:val="16"/>
              </w:rPr>
              <w:t>2.000.000 TL</w:t>
            </w:r>
          </w:p>
        </w:tc>
        <w:tc>
          <w:tcPr>
            <w:tcW w:w="2342" w:type="dxa"/>
          </w:tcPr>
          <w:p w:rsidR="00000000" w:rsidRDefault="00CC48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CC48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</w:rPr>
      </w:pPr>
    </w:p>
    <w:p w:rsidR="00000000" w:rsidRDefault="00CC48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C489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31.03.2001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C489D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CC489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31.03.2001  are shown below.</w:t>
            </w:r>
          </w:p>
        </w:tc>
      </w:tr>
    </w:tbl>
    <w:p w:rsidR="00000000" w:rsidRDefault="00CC489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0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89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89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Amount 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(TL)</w:t>
            </w:r>
          </w:p>
        </w:tc>
        <w:tc>
          <w:tcPr>
            <w:tcW w:w="2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89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8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8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</w:t>
            </w:r>
          </w:p>
        </w:tc>
        <w:tc>
          <w:tcPr>
            <w:tcW w:w="2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8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8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AKKÖK SAN.YAT.GEL.A.Ş.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8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727.345.126.785</w:t>
            </w:r>
          </w:p>
        </w:tc>
        <w:tc>
          <w:tcPr>
            <w:tcW w:w="2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89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30.82719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8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AKSA AKRİLİK KİM.SAN.A.Ş.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8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521.498.201.569</w:t>
            </w:r>
          </w:p>
        </w:tc>
        <w:tc>
          <w:tcPr>
            <w:tcW w:w="2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89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22.10275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8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EMNİYET TİC.VE SAN.A.Ş.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8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117.973.233.025</w:t>
            </w:r>
          </w:p>
        </w:tc>
        <w:tc>
          <w:tcPr>
            <w:tcW w:w="2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8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8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M.A.Merih ERGİN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CC48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</w:t>
            </w:r>
            <w:r>
              <w:rPr>
                <w:rFonts w:ascii="Arial" w:hAnsi="Arial"/>
                <w:sz w:val="16"/>
              </w:rPr>
              <w:t>.000</w:t>
            </w:r>
          </w:p>
        </w:tc>
        <w:tc>
          <w:tcPr>
            <w:tcW w:w="2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8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8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LATİFE BOYNER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8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75.778.599.000</w:t>
            </w:r>
          </w:p>
        </w:tc>
        <w:tc>
          <w:tcPr>
            <w:tcW w:w="2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8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3.21174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8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LERZAN BOYNER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8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84.819.312.000</w:t>
            </w:r>
          </w:p>
        </w:tc>
        <w:tc>
          <w:tcPr>
            <w:tcW w:w="2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8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3.59492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8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LEMAN HALULU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8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84.818.091.000</w:t>
            </w:r>
          </w:p>
        </w:tc>
        <w:tc>
          <w:tcPr>
            <w:tcW w:w="2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8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3.59486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8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İ.M.K.B.TAKASBANK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8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635.218.676.010</w:t>
            </w:r>
          </w:p>
        </w:tc>
        <w:tc>
          <w:tcPr>
            <w:tcW w:w="2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8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26.92258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8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DİĞERLERİ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8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111.974.385.611</w:t>
            </w:r>
          </w:p>
        </w:tc>
        <w:tc>
          <w:tcPr>
            <w:tcW w:w="2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8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4.74584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8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89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2.359.426.625.0</w:t>
            </w:r>
            <w:r>
              <w:rPr>
                <w:rFonts w:ascii="Arial" w:hAnsi="Arial"/>
                <w:b/>
                <w:sz w:val="16"/>
              </w:rPr>
              <w:t>00</w:t>
            </w:r>
          </w:p>
        </w:tc>
        <w:tc>
          <w:tcPr>
            <w:tcW w:w="2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C489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CC489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altName w:val="Segoe UI Symbol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0F5"/>
    <w:multiLevelType w:val="singleLevel"/>
    <w:tmpl w:val="D17E5A5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 w16cid:durableId="806629192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489D"/>
    <w:rsid w:val="00CC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CA20C-E780-4054-81CE-4471DFB6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2001-04-19T14:55:00Z</cp:lastPrinted>
  <dcterms:created xsi:type="dcterms:W3CDTF">2022-09-01T21:57:00Z</dcterms:created>
  <dcterms:modified xsi:type="dcterms:W3CDTF">2022-09-01T21:57:00Z</dcterms:modified>
</cp:coreProperties>
</file>