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ALFA MENKUL DEĞERLER A.Ş.</w:t>
            </w:r>
          </w:p>
        </w:tc>
      </w:tr>
    </w:tbl>
    <w:p w:rsidR="00000000" w:rsidRDefault="009329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08/01/1991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ŞİRKET, ALIM SATIM ARACILIĞI, HALKA ARZA ARACILIK, PORTFÖY YÖNETİCİLİĞİ, YATIRIM DANIŞMANLIĞI, REPO VE TERS REPO TAAHHÜDÜ İLE ALIM SATIM YETKİ BELGELERİ </w:t>
            </w:r>
            <w:r>
              <w:rPr>
                <w:rFonts w:ascii="Arial" w:hAnsi="Arial"/>
                <w:sz w:val="16"/>
              </w:rPr>
              <w:t>İLE KREDİLİ MENKUL KIYMET AÇIĞA SATIŞ MENKUL KIYMETLERİ ÖDÜNÇ ALMA VE VERME İZİN BELGESİNE SAHİPTİR.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SELAHATTİN SERB</w:t>
            </w:r>
            <w:r>
              <w:rPr>
                <w:rFonts w:ascii="Arial" w:hAnsi="Arial"/>
                <w:sz w:val="16"/>
              </w:rPr>
              <w:t>EST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BOZDAĞ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(31.12.00 itibariyle 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EMEL ÇABUKOĞLU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ASIM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282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( 0 212 ) 282 18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2,800,</w:t>
            </w:r>
            <w:r>
              <w:rPr>
                <w:i w:val="0"/>
                <w:color w:val="auto"/>
              </w:rPr>
              <w:t>000,000,000 TL ( 17.04.01 itibariyle 3,100,470,000,000 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329D0">
      <w:pPr>
        <w:pStyle w:val="BodyText"/>
        <w:rPr>
          <w:color w:val="auto"/>
          <w:sz w:val="16"/>
        </w:rPr>
      </w:pPr>
    </w:p>
    <w:p w:rsidR="00000000" w:rsidRDefault="009329D0">
      <w:pPr>
        <w:pStyle w:val="BodyText"/>
        <w:rPr>
          <w:color w:val="auto"/>
          <w:sz w:val="16"/>
        </w:rPr>
      </w:pPr>
    </w:p>
    <w:p w:rsidR="00000000" w:rsidRDefault="009329D0">
      <w:pPr>
        <w:pStyle w:val="BodyText"/>
        <w:rPr>
          <w:color w:val="auto"/>
          <w:sz w:val="16"/>
        </w:rPr>
      </w:pPr>
    </w:p>
    <w:p w:rsidR="00000000" w:rsidRDefault="009329D0">
      <w:pPr>
        <w:pStyle w:val="BodyText"/>
        <w:rPr>
          <w:color w:val="auto"/>
          <w:sz w:val="16"/>
        </w:rPr>
      </w:pPr>
    </w:p>
    <w:p w:rsidR="00000000" w:rsidRDefault="009329D0">
      <w:pPr>
        <w:pStyle w:val="BodyText"/>
        <w:rPr>
          <w:color w:val="auto"/>
          <w:sz w:val="16"/>
        </w:rPr>
      </w:pPr>
    </w:p>
    <w:p w:rsidR="00000000" w:rsidRDefault="009329D0">
      <w:pPr>
        <w:pStyle w:val="BodyText"/>
        <w:rPr>
          <w:color w:val="auto"/>
          <w:sz w:val="16"/>
        </w:rPr>
      </w:pPr>
    </w:p>
    <w:p w:rsidR="00000000" w:rsidRDefault="009329D0">
      <w:pPr>
        <w:pStyle w:val="BodyText"/>
        <w:rPr>
          <w:color w:val="auto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2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932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2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</w:t>
            </w:r>
            <w:r>
              <w:rPr>
                <w:rFonts w:ascii="Arial" w:hAnsi="Arial"/>
                <w:i/>
                <w:sz w:val="16"/>
              </w:rPr>
              <w:t>ecurities of the Company for the last two years are shown below.</w:t>
            </w:r>
          </w:p>
        </w:tc>
      </w:tr>
    </w:tbl>
    <w:p w:rsidR="00000000" w:rsidRDefault="009329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329D0">
            <w:pPr>
              <w:jc w:val="center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sz w:val="16"/>
                <w:lang w:val="en-GB"/>
              </w:rPr>
              <w:t>)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b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sz w:val="16"/>
                <w:u w:val="single"/>
                <w:lang w:val="en-GB"/>
              </w:rPr>
              <w:t>1999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b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sz w:val="16"/>
                <w:u w:val="single"/>
                <w:lang w:val="en-GB"/>
              </w:rPr>
              <w:t xml:space="preserve">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Hisse Senetleri</w:t>
            </w:r>
          </w:p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(Equities)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759,289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88,996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Özel Sektör Tahvil ve Bonoları</w:t>
            </w:r>
          </w:p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Kamu Kesimi Tahvil ve Bonoları</w:t>
            </w:r>
          </w:p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2,528,723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5,603,661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Diðer Menkul Kıymetler </w:t>
            </w:r>
          </w:p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Toplam Menkul Kıymetler</w:t>
            </w:r>
          </w:p>
          <w:p w:rsidR="00000000" w:rsidRDefault="009329D0">
            <w:pPr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sz w:val="16"/>
                <w:lang w:val="en-GB"/>
              </w:rPr>
              <w:t xml:space="preserve">         </w:t>
            </w:r>
            <w:r>
              <w:rPr>
                <w:rFonts w:ascii="Arial" w:hAnsi="Arial"/>
                <w:sz w:val="16"/>
                <w:lang w:val="en-GB"/>
              </w:rPr>
              <w:t xml:space="preserve">                     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3,288,012</w:t>
            </w:r>
          </w:p>
        </w:tc>
        <w:tc>
          <w:tcPr>
            <w:tcW w:w="1008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5,692,657</w:t>
            </w:r>
          </w:p>
        </w:tc>
      </w:tr>
    </w:tbl>
    <w:p w:rsidR="00000000" w:rsidRDefault="009329D0">
      <w:pPr>
        <w:rPr>
          <w:rFonts w:ascii="Arial" w:hAnsi="Arial"/>
          <w:sz w:val="16"/>
        </w:rPr>
      </w:pPr>
    </w:p>
    <w:p w:rsidR="00000000" w:rsidRDefault="009329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29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29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29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29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9D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</w:t>
            </w:r>
            <w:r>
              <w:rPr>
                <w:rFonts w:ascii="Arial" w:hAnsi="Arial"/>
                <w:b/>
                <w:sz w:val="16"/>
              </w:rPr>
              <w:t>mayesi</w:t>
            </w:r>
          </w:p>
        </w:tc>
        <w:tc>
          <w:tcPr>
            <w:tcW w:w="2338" w:type="dxa"/>
          </w:tcPr>
          <w:p w:rsidR="00000000" w:rsidRDefault="009329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9D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29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TAKAS VE SAKLAMA BANKASI A.Ş.</w:t>
            </w:r>
          </w:p>
        </w:tc>
        <w:tc>
          <w:tcPr>
            <w:tcW w:w="2299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16,300,000,000,000TL</w:t>
            </w:r>
          </w:p>
        </w:tc>
        <w:tc>
          <w:tcPr>
            <w:tcW w:w="2342" w:type="dxa"/>
          </w:tcPr>
          <w:p w:rsidR="00000000" w:rsidRDefault="009329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29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 SECURITIES (USA) INC.</w:t>
            </w:r>
          </w:p>
        </w:tc>
        <w:tc>
          <w:tcPr>
            <w:tcW w:w="2299" w:type="dxa"/>
          </w:tcPr>
          <w:p w:rsidR="00000000" w:rsidRDefault="009329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204,075,000,000TL</w:t>
            </w:r>
          </w:p>
        </w:tc>
        <w:tc>
          <w:tcPr>
            <w:tcW w:w="2342" w:type="dxa"/>
          </w:tcPr>
          <w:p w:rsidR="00000000" w:rsidRDefault="009329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9329D0">
      <w:pPr>
        <w:rPr>
          <w:rFonts w:ascii="Arial" w:hAnsi="Arial"/>
          <w:b/>
          <w:i/>
          <w:sz w:val="16"/>
          <w:u w:val="single"/>
        </w:rPr>
      </w:pPr>
    </w:p>
    <w:p w:rsidR="00000000" w:rsidRDefault="00932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32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932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29D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 17.04.2001 tarihi itibariyle başlıca ortakları </w:t>
            </w:r>
            <w:r>
              <w:rPr>
                <w:rFonts w:ascii="Arial" w:hAnsi="Arial"/>
                <w:b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9329D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329D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17.04.2001  are shown below.</w:t>
            </w:r>
          </w:p>
        </w:tc>
      </w:tr>
    </w:tbl>
    <w:p w:rsidR="00000000" w:rsidRDefault="009329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1-CINGILLI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2,011,976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ASIM KARADENİZ –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SAFRON AMD PARTNERS LP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300,470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KARAD HOLDİNG A.Ş.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119,461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CINGILLIOĞLU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 CINGILLIOĞLU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CINGIL</w:t>
            </w:r>
            <w:r>
              <w:rPr>
                <w:rFonts w:ascii="Arial" w:hAnsi="Arial"/>
                <w:sz w:val="16"/>
              </w:rPr>
              <w:t>LIOĞLU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455,830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3,100,470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29D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329D0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9D0"/>
    <w:rsid w:val="009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A738-0501-4445-9799-AC6C5D36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2001-04-17T06:07:00Z</cp:lastPrinted>
  <dcterms:created xsi:type="dcterms:W3CDTF">2022-09-01T21:58:00Z</dcterms:created>
  <dcterms:modified xsi:type="dcterms:W3CDTF">2022-09-01T21:58:00Z</dcterms:modified>
</cp:coreProperties>
</file>