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pStyle w:val="Heading2"/>
              <w:rPr>
                <w:rFonts w:ascii="Arial" w:hAnsi="Arial"/>
              </w:rPr>
            </w:pPr>
            <w:r>
              <w:t>ASELSAN ELEKTRONİK SANAYİ VE TİCARET A.Ş</w:t>
            </w:r>
          </w:p>
        </w:tc>
      </w:tr>
    </w:tbl>
    <w:p w:rsidR="00000000" w:rsidRDefault="003356AB">
      <w:pPr>
        <w:rPr>
          <w:rFonts w:ascii="Arial" w:hAnsi="Arial"/>
          <w:sz w:val="16"/>
        </w:rPr>
      </w:pPr>
    </w:p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 KASIM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NOVEMBER 20,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GB"/>
              </w:rPr>
              <w:t>ELEKTRİK, ELEKTRO-OPTİK , OPTİK, MEKANİK, UZAY VE HAVACILIK KONULARINDA ÇEŞİTLİ CİHAZ VE SİSTEMLERİN GELİŞTİRME, ÜRETİM VE Tİ</w:t>
            </w:r>
            <w:r>
              <w:rPr>
                <w:rFonts w:ascii="Arial" w:hAnsi="Arial"/>
                <w:snapToGrid w:val="0"/>
                <w:sz w:val="16"/>
                <w:lang w:val="en-GB"/>
              </w:rPr>
              <w:t>CARETİNİ YAPMAK, YAPTIRMAK VE PROJE, MÜHENDİSLİK, TAAHHÜT, İNŞAAT, TİCARET, İŞLETME VE İNTERNET HİZMETLERİ KONUSUNDA HER TÜRLÜ GİRİŞİM VE FAALİYETLER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THE COMPANY HAS BEEN FOUNDED TO ENGAGE ALL TYPES OF ACTIVITIES FOR THE RESEARCH, DE</w:t>
            </w:r>
            <w:r>
              <w:rPr>
                <w:rFonts w:ascii="Arial" w:hAnsi="Arial"/>
                <w:sz w:val="16"/>
              </w:rPr>
              <w:t xml:space="preserve">VELOPMENT, PRODUCTION AND TRADING OF VARIOUS ELECTRICAL, ELECTRONICAL, ELECTRO-OPTICAL, OPTICAL, MECHANICAL, SPACE, AVIATION EQUIPMENT AND SYSTEMS.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AKİF ERSOY MAHALLESİ 16. CAD. NO : 16 MACUNKÖY YENİMAHALLE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KEMAL BERKMAN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OLTAN EVREN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DİNÇER ÖZDAMAR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ZEYYAT URAN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</w:t>
            </w:r>
            <w:r>
              <w:rPr>
                <w:rFonts w:ascii="Arial" w:hAnsi="Arial"/>
                <w:color w:val="000000"/>
                <w:sz w:val="16"/>
              </w:rPr>
              <w:t xml:space="preserve">AHMAN KARABULUT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REŞAT DERELLİ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TUNCER AKÇAY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DEVRİM ÇORBACIOĞLU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0 312  385 19 00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0 312  354 13 02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İŞÇİ SENDİKASI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pStyle w:val="Heading1"/>
            </w:pPr>
            <w:r>
              <w:rPr>
                <w:i w:val="0"/>
                <w:color w:val="000000"/>
              </w:rPr>
              <w:t>20.000.000.000.000,-TL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9.801.000.000.000,-TL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701"/>
        <w:gridCol w:w="1156"/>
        <w:gridCol w:w="1276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ÜRÜNLER/ PRODUCTS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ÖLÇÜ</w:t>
            </w:r>
          </w:p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BİRİMİ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1999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ASKERİ VE PROFESYONEL TELSİZ SİSTEMLERİ</w:t>
            </w:r>
          </w:p>
          <w:p w:rsidR="00000000" w:rsidRDefault="003356A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(Military and Professional Radio Communications Systems)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SİSTEM/</w:t>
            </w:r>
          </w:p>
          <w:p w:rsidR="00000000" w:rsidRDefault="003356AB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36,160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ELEKTRO-OPTİK CİHAZLAR</w:t>
            </w:r>
          </w:p>
          <w:p w:rsidR="00000000" w:rsidRDefault="003356A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(Electronic-Optical Equipment)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ADET/</w:t>
            </w:r>
          </w:p>
          <w:p w:rsidR="00000000" w:rsidRDefault="003356AB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4,774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ASKERİ CİHAZ VE SİSTEMLER</w:t>
            </w:r>
          </w:p>
          <w:p w:rsidR="00000000" w:rsidRDefault="003356A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(Various Mil</w:t>
            </w:r>
            <w:r>
              <w:rPr>
                <w:rFonts w:ascii="Arial" w:hAnsi="Arial"/>
                <w:i/>
                <w:color w:val="000000"/>
                <w:sz w:val="16"/>
              </w:rPr>
              <w:t>itary Equipment and Systems)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ADET/</w:t>
            </w:r>
          </w:p>
          <w:p w:rsidR="00000000" w:rsidRDefault="003356AB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2,100</w:t>
            </w:r>
          </w:p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62,730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2,369</w:t>
            </w:r>
          </w:p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65,405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PROFESYONEL SİSTEMLER</w:t>
            </w:r>
          </w:p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(Other Professional Systems)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SİSTEM</w:t>
            </w:r>
          </w:p>
          <w:p w:rsidR="00000000" w:rsidRDefault="003356AB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ADET/UNITS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1,070</w:t>
            </w:r>
          </w:p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104,900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1,083</w:t>
            </w:r>
          </w:p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104,900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 DEVRE KARTI, MEKANİK PARÇA, HİBRİD DEVRE, YEDEK PARÇA VE DİĞER</w:t>
            </w:r>
          </w:p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(PCB, Mechanic </w:t>
            </w:r>
            <w:r>
              <w:rPr>
                <w:rFonts w:ascii="Arial" w:hAnsi="Arial"/>
                <w:i/>
                <w:color w:val="000000"/>
                <w:sz w:val="16"/>
              </w:rPr>
              <w:t>Parts, Hybrid Circuits, Spare Parts and Others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ADET/UNITS</w:t>
            </w:r>
          </w:p>
          <w:p w:rsidR="00000000" w:rsidRDefault="003356AB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 </w:t>
            </w:r>
            <w:r>
              <w:rPr>
                <w:rFonts w:ascii="Arial" w:hAnsi="Arial"/>
                <w:color w:val="000000"/>
                <w:sz w:val="16"/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848,555</w:t>
            </w:r>
          </w:p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846,500</w:t>
            </w:r>
          </w:p>
          <w:p w:rsidR="00000000" w:rsidRDefault="003356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</w:t>
            </w:r>
          </w:p>
        </w:tc>
      </w:tr>
    </w:tbl>
    <w:p w:rsidR="00000000" w:rsidRDefault="003356AB">
      <w:pPr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sz w:val="16"/>
        </w:rPr>
        <w:t>NOT: ASELSAN TESİSLERİNİN ALT YAPISI AYNI ÜRETİM HATLARINDA VE ALINAN SİPARİŞLERE GÖRE ÇOK DEĞİŞİK ASKERİ VE PROFESYONEL ELEKTRONİK CİHAZ ÜRETEBİLECEK ESNEKLİKTE  K</w:t>
      </w:r>
      <w:r>
        <w:rPr>
          <w:rFonts w:ascii="Arial" w:hAnsi="Arial"/>
          <w:sz w:val="16"/>
        </w:rPr>
        <w:t xml:space="preserve">URULMUŞTUR. CİHAZ ÇEŞİTLİLİĞİ NEDENİYLE TEK BİR KAPASİTE ORANI VERMEK MÜMKÜN OLMAMAKLA BİRLİKTE, GEÇMİŞ YILLARDA OLDUĞU GİBİ 2000 YILINDA DA TÜM YATIRIMIMIZIN TAM KAPASİTE İLE KULLANILDIĞINI SÖYLEYEBİLİRİZ. </w:t>
      </w:r>
    </w:p>
    <w:p w:rsidR="00000000" w:rsidRDefault="003356AB">
      <w:pPr>
        <w:rPr>
          <w:rFonts w:ascii="Arial" w:hAnsi="Arial"/>
          <w:sz w:val="16"/>
        </w:rPr>
      </w:pPr>
    </w:p>
    <w:p w:rsidR="00000000" w:rsidRDefault="003356AB">
      <w:pPr>
        <w:rPr>
          <w:rFonts w:ascii="Arial" w:hAnsi="Arial"/>
          <w:sz w:val="16"/>
        </w:rPr>
      </w:pPr>
    </w:p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</w:t>
            </w:r>
            <w:r>
              <w:rPr>
                <w:rFonts w:ascii="Arial" w:hAnsi="Arial"/>
                <w:sz w:val="16"/>
              </w:rPr>
              <w:t>rı bilgileri aşağıda gösterilmiştir.</w:t>
            </w:r>
          </w:p>
        </w:tc>
        <w:tc>
          <w:tcPr>
            <w:tcW w:w="11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1134"/>
        <w:gridCol w:w="127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3356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/ PRODUCTS</w:t>
            </w:r>
          </w:p>
        </w:tc>
        <w:tc>
          <w:tcPr>
            <w:tcW w:w="1134" w:type="dxa"/>
          </w:tcPr>
          <w:p w:rsidR="00000000" w:rsidRDefault="003356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ÖLÇÜ BİRİMİ</w:t>
            </w:r>
          </w:p>
        </w:tc>
        <w:tc>
          <w:tcPr>
            <w:tcW w:w="1275" w:type="dxa"/>
          </w:tcPr>
          <w:p w:rsidR="00000000" w:rsidRDefault="003356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  <w:tc>
          <w:tcPr>
            <w:tcW w:w="1276" w:type="dxa"/>
          </w:tcPr>
          <w:p w:rsidR="00000000" w:rsidRDefault="003356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Askeri ve Profesyonel Telsiz Sistemleri</w:t>
            </w:r>
          </w:p>
          <w:p w:rsidR="00000000" w:rsidRDefault="003356A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(Military and Professional Wireless Communications Systems)</w:t>
            </w:r>
          </w:p>
        </w:tc>
        <w:tc>
          <w:tcPr>
            <w:tcW w:w="1134" w:type="dxa"/>
          </w:tcPr>
          <w:p w:rsidR="00000000" w:rsidRDefault="003356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</w:t>
            </w:r>
            <w:r>
              <w:rPr>
                <w:rFonts w:ascii="Arial" w:hAnsi="Arial"/>
                <w:sz w:val="16"/>
              </w:rPr>
              <w:t>t/Units</w:t>
            </w:r>
          </w:p>
        </w:tc>
        <w:tc>
          <w:tcPr>
            <w:tcW w:w="1275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36,672</w:t>
            </w:r>
          </w:p>
        </w:tc>
        <w:tc>
          <w:tcPr>
            <w:tcW w:w="1276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44,140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 Profesyonel Sistemler</w:t>
            </w:r>
          </w:p>
          <w:p w:rsidR="00000000" w:rsidRDefault="003356A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 Professional Systems)</w:t>
            </w:r>
          </w:p>
        </w:tc>
        <w:tc>
          <w:tcPr>
            <w:tcW w:w="1134" w:type="dxa"/>
          </w:tcPr>
          <w:p w:rsidR="00000000" w:rsidRDefault="003356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Adet/Units</w:t>
            </w:r>
          </w:p>
        </w:tc>
        <w:tc>
          <w:tcPr>
            <w:tcW w:w="1275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37,365</w:t>
            </w:r>
          </w:p>
        </w:tc>
        <w:tc>
          <w:tcPr>
            <w:tcW w:w="1276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21,382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Elektro - Optik Cihazlar</w:t>
            </w:r>
          </w:p>
          <w:p w:rsidR="00000000" w:rsidRDefault="003356A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(Electronic-Optical Equipment)</w:t>
            </w:r>
          </w:p>
        </w:tc>
        <w:tc>
          <w:tcPr>
            <w:tcW w:w="1134" w:type="dxa"/>
          </w:tcPr>
          <w:p w:rsidR="00000000" w:rsidRDefault="003356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Adet/Units</w:t>
            </w:r>
          </w:p>
        </w:tc>
        <w:tc>
          <w:tcPr>
            <w:tcW w:w="1275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5,267</w:t>
            </w:r>
          </w:p>
        </w:tc>
        <w:tc>
          <w:tcPr>
            <w:tcW w:w="1276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4,420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Çeşitli Askeri Cihaz ve Sistemler</w:t>
            </w:r>
          </w:p>
          <w:p w:rsidR="00000000" w:rsidRDefault="003356AB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(Various Military Equipment and Sys</w:t>
            </w:r>
            <w:r>
              <w:rPr>
                <w:rFonts w:ascii="Arial" w:hAnsi="Arial"/>
                <w:i/>
                <w:color w:val="000000"/>
                <w:sz w:val="16"/>
              </w:rPr>
              <w:t>tems)</w:t>
            </w:r>
          </w:p>
        </w:tc>
        <w:tc>
          <w:tcPr>
            <w:tcW w:w="1134" w:type="dxa"/>
          </w:tcPr>
          <w:p w:rsidR="00000000" w:rsidRDefault="003356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Adet/Units</w:t>
            </w:r>
          </w:p>
        </w:tc>
        <w:tc>
          <w:tcPr>
            <w:tcW w:w="1275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2,555</w:t>
            </w:r>
          </w:p>
        </w:tc>
        <w:tc>
          <w:tcPr>
            <w:tcW w:w="1276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5,327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Baskı Devre Kartı, Mekanik Parça, Hibrid Devre, Yedek Parça ve Diğer</w:t>
            </w:r>
          </w:p>
          <w:p w:rsidR="00000000" w:rsidRDefault="003356AB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(PCB, Mechanic Parts, Hybrid Circuits, Spare Parts and Others)</w:t>
            </w:r>
          </w:p>
        </w:tc>
        <w:tc>
          <w:tcPr>
            <w:tcW w:w="1134" w:type="dxa"/>
          </w:tcPr>
          <w:p w:rsidR="00000000" w:rsidRDefault="003356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Adet/Units</w:t>
            </w:r>
          </w:p>
        </w:tc>
        <w:tc>
          <w:tcPr>
            <w:tcW w:w="1275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156,092</w:t>
            </w:r>
          </w:p>
        </w:tc>
        <w:tc>
          <w:tcPr>
            <w:tcW w:w="1276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80,491</w:t>
            </w:r>
          </w:p>
        </w:tc>
      </w:tr>
    </w:tbl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</w:t>
            </w:r>
            <w:r>
              <w:rPr>
                <w:rFonts w:ascii="Arial" w:hAnsi="Arial"/>
                <w:sz w:val="16"/>
              </w:rPr>
              <w:t>akamları aşağıda gösterilmiştir.</w:t>
            </w:r>
          </w:p>
        </w:tc>
        <w:tc>
          <w:tcPr>
            <w:tcW w:w="11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064"/>
        <w:gridCol w:w="2126"/>
        <w:gridCol w:w="19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 MİLYON TL)</w:t>
            </w:r>
          </w:p>
        </w:tc>
        <w:tc>
          <w:tcPr>
            <w:tcW w:w="2064" w:type="dxa"/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 MİLYON TL)</w:t>
            </w:r>
          </w:p>
        </w:tc>
        <w:tc>
          <w:tcPr>
            <w:tcW w:w="1923" w:type="dxa"/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064" w:type="dxa"/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Costs(%)</w:t>
            </w:r>
          </w:p>
        </w:tc>
        <w:tc>
          <w:tcPr>
            <w:tcW w:w="2126" w:type="dxa"/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23" w:type="dxa"/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6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094" w:type="dxa"/>
          </w:tcPr>
          <w:p w:rsidR="00000000" w:rsidRDefault="003356A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51.477.933</w:t>
            </w:r>
          </w:p>
          <w:p w:rsidR="00000000" w:rsidRDefault="003356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122.281.111</w:t>
            </w:r>
          </w:p>
        </w:tc>
        <w:tc>
          <w:tcPr>
            <w:tcW w:w="2064" w:type="dxa"/>
          </w:tcPr>
          <w:p w:rsidR="00000000" w:rsidRDefault="003356AB">
            <w:pPr>
              <w:ind w:right="6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35-40</w:t>
            </w:r>
          </w:p>
        </w:tc>
        <w:tc>
          <w:tcPr>
            <w:tcW w:w="2126" w:type="dxa"/>
          </w:tcPr>
          <w:p w:rsidR="00000000" w:rsidRDefault="003356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9.580.438</w:t>
            </w:r>
          </w:p>
          <w:p w:rsidR="00000000" w:rsidRDefault="003356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23.596.154</w:t>
            </w:r>
          </w:p>
        </w:tc>
        <w:tc>
          <w:tcPr>
            <w:tcW w:w="1923" w:type="dxa"/>
          </w:tcPr>
          <w:p w:rsidR="00000000" w:rsidRDefault="003356AB">
            <w:pPr>
              <w:ind w:right="6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6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94" w:type="dxa"/>
          </w:tcPr>
          <w:p w:rsidR="00000000" w:rsidRDefault="003356A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75.719.558</w:t>
            </w:r>
          </w:p>
          <w:p w:rsidR="00000000" w:rsidRDefault="003356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120.525.891</w:t>
            </w:r>
          </w:p>
        </w:tc>
        <w:tc>
          <w:tcPr>
            <w:tcW w:w="2064" w:type="dxa"/>
          </w:tcPr>
          <w:p w:rsidR="00000000" w:rsidRDefault="003356AB">
            <w:pPr>
              <w:ind w:right="6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35-40</w:t>
            </w:r>
          </w:p>
        </w:tc>
        <w:tc>
          <w:tcPr>
            <w:tcW w:w="2126" w:type="dxa"/>
          </w:tcPr>
          <w:p w:rsidR="00000000" w:rsidRDefault="003356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17.841.133</w:t>
            </w:r>
          </w:p>
          <w:p w:rsidR="00000000" w:rsidRDefault="003356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28.158.408</w:t>
            </w:r>
          </w:p>
        </w:tc>
        <w:tc>
          <w:tcPr>
            <w:tcW w:w="1923" w:type="dxa"/>
          </w:tcPr>
          <w:p w:rsidR="00000000" w:rsidRDefault="003356AB">
            <w:pPr>
              <w:ind w:right="6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</w:tbl>
    <w:p w:rsidR="00000000" w:rsidRDefault="003356AB">
      <w:pPr>
        <w:rPr>
          <w:rFonts w:ascii="Arial" w:hAnsi="Arial"/>
          <w:b/>
          <w:sz w:val="16"/>
          <w:u w:val="single"/>
        </w:rPr>
      </w:pPr>
    </w:p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3356A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356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356AB">
      <w:pPr>
        <w:rPr>
          <w:rFonts w:ascii="Arial" w:hAnsi="Arial"/>
          <w:sz w:val="16"/>
        </w:rPr>
      </w:pPr>
    </w:p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141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-30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Başlangıç-Tahmini Faaliyete Geçiş Tarihleri</w:t>
            </w:r>
          </w:p>
        </w:tc>
        <w:tc>
          <w:tcPr>
            <w:tcW w:w="221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(30.12.2000'a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-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  <w:tcBorders>
              <w:left w:val="nil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left w:val="nil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-30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13.TEVSİ İMALAT-HABERLEŞME </w:t>
            </w:r>
          </w:p>
          <w:p w:rsidR="00000000" w:rsidRDefault="003356AB">
            <w:pPr>
              <w:ind w:right="-3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(MANUFACTURING, COMMUNICATION)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1104"/>
              </w:tabs>
              <w:ind w:right="312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tabs>
                <w:tab w:val="left" w:pos="1104"/>
              </w:tabs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1996-2001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1.600.459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14.TEVSİ ÇEŞİTLİ ASKERİ ELEKTRONİK TEÇHİZAT ÜRETİMİ</w:t>
            </w:r>
          </w:p>
          <w:p w:rsidR="00000000" w:rsidRDefault="003356AB">
            <w:pPr>
              <w:ind w:right="-3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(VARIOUS MILITARY </w:t>
            </w:r>
            <w:r>
              <w:rPr>
                <w:rFonts w:ascii="Arial" w:hAnsi="Arial"/>
                <w:i/>
                <w:sz w:val="16"/>
              </w:rPr>
              <w:t>ELECTRONIC EQUIPMENT PRODUCTION)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1104"/>
              </w:tabs>
              <w:ind w:right="312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tabs>
                <w:tab w:val="left" w:pos="1104"/>
              </w:tabs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1996-2000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10.000.000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2.483.934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15.TEVSİ MUHTELİF ASKERİ ELEKTRONİK CİHAZLAR</w:t>
            </w:r>
          </w:p>
          <w:p w:rsidR="00000000" w:rsidRDefault="003356AB">
            <w:pPr>
              <w:ind w:right="-3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(VARIOUS MILITARY ELECTRONIC EQUIPMENT)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1104"/>
              </w:tabs>
              <w:ind w:right="312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tabs>
                <w:tab w:val="left" w:pos="1104"/>
              </w:tabs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1996-2001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2.600.000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4.863.296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16.TEVSİ MUHTELİF ASKERİ ELEKTRONİK CİHAZLAR</w:t>
            </w:r>
          </w:p>
          <w:p w:rsidR="00000000" w:rsidRDefault="003356AB">
            <w:pPr>
              <w:ind w:right="-3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(VARIOUS MILITARY EL</w:t>
            </w:r>
            <w:r>
              <w:rPr>
                <w:rFonts w:ascii="Arial" w:hAnsi="Arial"/>
                <w:i/>
                <w:sz w:val="16"/>
              </w:rPr>
              <w:t>ECTRONIC EQUIPMENT)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1104"/>
              </w:tabs>
              <w:ind w:right="312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tabs>
                <w:tab w:val="left" w:pos="1104"/>
              </w:tabs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13.800.000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</w:p>
          <w:p w:rsidR="00000000" w:rsidRDefault="003356AB">
            <w:pPr>
              <w:ind w:right="3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418.437 </w:t>
            </w:r>
          </w:p>
        </w:tc>
      </w:tr>
    </w:tbl>
    <w:p w:rsidR="00000000" w:rsidRDefault="003356AB">
      <w:pPr>
        <w:rPr>
          <w:rFonts w:ascii="Arial" w:hAnsi="Arial"/>
          <w:sz w:val="16"/>
        </w:rPr>
      </w:pPr>
    </w:p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356A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31"/>
        <w:gridCol w:w="198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ROKETSAN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 MİLYAR TL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ASPİLSAN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 MİLYAR TL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TÜLOMSAŞ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 MİLYAR TL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HAVAALANI İŞLETME VE HAVACILIK ENDÜSTRİLERİ A.Ş.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 MİLYAR TL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ASELSAN-BAKÜ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500.000 $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335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35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356AB">
      <w:pPr>
        <w:jc w:val="both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35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6A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</w:t>
            </w:r>
            <w:r>
              <w:rPr>
                <w:rFonts w:ascii="Arial" w:hAnsi="Arial"/>
                <w:sz w:val="16"/>
              </w:rPr>
              <w:t>Gerçek ve Tüzel Kişi Ortaklar</w:t>
            </w:r>
          </w:p>
        </w:tc>
        <w:tc>
          <w:tcPr>
            <w:tcW w:w="11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35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5"/>
        </w:trPr>
        <w:tc>
          <w:tcPr>
            <w:tcW w:w="3969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 xml:space="preserve">T.Silahlı Kuvvetlerini Güçlendirme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Vakfı</w:t>
            </w:r>
          </w:p>
        </w:tc>
        <w:tc>
          <w:tcPr>
            <w:tcW w:w="2694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8.150.372.447.400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83,15858</w:t>
            </w:r>
          </w:p>
        </w:tc>
      </w:tr>
    </w:tbl>
    <w:p w:rsidR="00000000" w:rsidRDefault="003356AB">
      <w:pPr>
        <w:tabs>
          <w:tab w:val="left" w:pos="379"/>
          <w:tab w:val="left" w:pos="1798"/>
          <w:tab w:val="left" w:pos="3281"/>
          <w:tab w:val="left" w:pos="4574"/>
          <w:tab w:val="left" w:pos="6610"/>
          <w:tab w:val="left" w:pos="8676"/>
          <w:tab w:val="left" w:pos="9686"/>
          <w:tab w:val="left" w:pos="10176"/>
        </w:tabs>
        <w:rPr>
          <w:rFonts w:ascii="Arial" w:hAnsi="Arial"/>
          <w:snapToGrid w:val="0"/>
          <w:color w:val="000000"/>
          <w:sz w:val="16"/>
          <w:lang w:val="en-GB"/>
        </w:rPr>
      </w:pPr>
      <w:r>
        <w:rPr>
          <w:rFonts w:ascii="Arial" w:hAnsi="Arial"/>
          <w:snapToGrid w:val="0"/>
          <w:color w:val="000000"/>
          <w:sz w:val="16"/>
          <w:lang w:val="en-GB"/>
        </w:rPr>
        <w:tab/>
      </w:r>
    </w:p>
    <w:p w:rsidR="00000000" w:rsidRDefault="00335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35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pStyle w:val="Heading3"/>
            </w:pPr>
            <w:r>
              <w:lastRenderedPageBreak/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6521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6521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</w:t>
            </w:r>
            <w:r>
              <w:rPr>
                <w:rFonts w:ascii="Arial" w:hAnsi="Arial"/>
                <w:b/>
                <w:sz w:val="16"/>
              </w:rPr>
              <w:t>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335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5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</w:t>
            </w:r>
            <w:r>
              <w:rPr>
                <w:rFonts w:ascii="Arial" w:hAnsi="Arial"/>
                <w:sz w:val="16"/>
              </w:rPr>
              <w:t xml:space="preserve"> who are working for the company as general manager, assistant general manager, director etc.</w:t>
            </w:r>
          </w:p>
        </w:tc>
      </w:tr>
    </w:tbl>
    <w:p w:rsidR="00000000" w:rsidRDefault="00335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</w:t>
            </w:r>
            <w:r>
              <w:rPr>
                <w:rFonts w:ascii="Arial" w:hAnsi="Arial"/>
                <w:sz w:val="16"/>
              </w:rPr>
              <w:t>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335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5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356A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35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pStyle w:val="Heading5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3356A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35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6A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</w:t>
            </w:r>
            <w:r>
              <w:rPr>
                <w:rFonts w:ascii="Arial" w:hAnsi="Arial"/>
                <w:sz w:val="16"/>
              </w:rPr>
              <w:t>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</w:t>
            </w:r>
            <w:r>
              <w:rPr>
                <w:rFonts w:ascii="Arial" w:hAnsi="Arial"/>
                <w:sz w:val="16"/>
              </w:rPr>
              <w:t>tle (A)</w:t>
            </w:r>
          </w:p>
        </w:tc>
      </w:tr>
    </w:tbl>
    <w:p w:rsidR="00000000" w:rsidRDefault="003356AB">
      <w:pPr>
        <w:tabs>
          <w:tab w:val="left" w:pos="379"/>
          <w:tab w:val="left" w:pos="1798"/>
          <w:tab w:val="left" w:pos="3281"/>
          <w:tab w:val="left" w:pos="4574"/>
          <w:tab w:val="left" w:pos="6610"/>
          <w:tab w:val="left" w:pos="8676"/>
          <w:tab w:val="left" w:pos="9686"/>
          <w:tab w:val="left" w:pos="10176"/>
        </w:tabs>
        <w:rPr>
          <w:rFonts w:ascii="Arial" w:hAnsi="Arial"/>
          <w:snapToGrid w:val="0"/>
          <w:color w:val="000000"/>
          <w:sz w:val="16"/>
          <w:lang w:val="en-GB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pStyle w:val="Heading5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3356AB">
      <w:pPr>
        <w:tabs>
          <w:tab w:val="left" w:pos="379"/>
          <w:tab w:val="left" w:pos="1798"/>
          <w:tab w:val="left" w:pos="3281"/>
          <w:tab w:val="left" w:pos="4574"/>
          <w:tab w:val="left" w:pos="6610"/>
          <w:tab w:val="left" w:pos="8676"/>
          <w:tab w:val="left" w:pos="9686"/>
          <w:tab w:val="left" w:pos="10176"/>
        </w:tabs>
        <w:rPr>
          <w:rFonts w:ascii="Arial" w:hAnsi="Arial"/>
          <w:snapToGrid w:val="0"/>
          <w:color w:val="000000"/>
          <w:sz w:val="16"/>
          <w:lang w:val="en-GB"/>
        </w:rPr>
      </w:pPr>
    </w:p>
    <w:p w:rsidR="00000000" w:rsidRDefault="003356AB">
      <w:pPr>
        <w:tabs>
          <w:tab w:val="left" w:pos="379"/>
          <w:tab w:val="left" w:pos="1798"/>
          <w:tab w:val="left" w:pos="3281"/>
          <w:tab w:val="left" w:pos="4574"/>
          <w:tab w:val="left" w:pos="6610"/>
          <w:tab w:val="left" w:pos="8676"/>
          <w:tab w:val="left" w:pos="9686"/>
          <w:tab w:val="left" w:pos="10176"/>
        </w:tabs>
        <w:rPr>
          <w:rFonts w:ascii="Arial" w:hAnsi="Arial"/>
          <w:snapToGrid w:val="0"/>
          <w:color w:val="000000"/>
          <w:sz w:val="16"/>
          <w:lang w:val="en-GB"/>
        </w:rPr>
      </w:pPr>
      <w:r>
        <w:rPr>
          <w:rFonts w:ascii="Arial" w:hAnsi="Arial"/>
          <w:snapToGrid w:val="0"/>
          <w:color w:val="000000"/>
          <w:sz w:val="16"/>
          <w:lang w:val="en-GB"/>
        </w:rPr>
        <w:tab/>
      </w:r>
      <w:r>
        <w:rPr>
          <w:rFonts w:ascii="Arial" w:hAnsi="Arial"/>
          <w:snapToGrid w:val="0"/>
          <w:color w:val="000000"/>
          <w:sz w:val="16"/>
          <w:lang w:val="en-GB"/>
        </w:rPr>
        <w:tab/>
      </w:r>
      <w:r>
        <w:rPr>
          <w:rFonts w:ascii="Arial" w:hAnsi="Arial"/>
          <w:snapToGrid w:val="0"/>
          <w:color w:val="000000"/>
          <w:sz w:val="16"/>
          <w:lang w:val="en-GB"/>
        </w:rPr>
        <w:tab/>
      </w:r>
      <w:r>
        <w:rPr>
          <w:rFonts w:ascii="Arial" w:hAnsi="Arial"/>
          <w:snapToGrid w:val="0"/>
          <w:color w:val="000000"/>
          <w:sz w:val="16"/>
          <w:lang w:val="en-GB"/>
        </w:rPr>
        <w:tab/>
      </w:r>
      <w:r>
        <w:rPr>
          <w:rFonts w:ascii="Arial" w:hAnsi="Arial"/>
          <w:snapToGrid w:val="0"/>
          <w:color w:val="000000"/>
          <w:sz w:val="16"/>
          <w:lang w:val="en-GB"/>
        </w:rPr>
        <w:tab/>
      </w:r>
      <w:r>
        <w:rPr>
          <w:rFonts w:ascii="Arial" w:hAnsi="Arial"/>
          <w:snapToGrid w:val="0"/>
          <w:color w:val="000000"/>
          <w:sz w:val="16"/>
          <w:lang w:val="en-GB"/>
        </w:rPr>
        <w:tab/>
      </w:r>
      <w:r>
        <w:rPr>
          <w:rFonts w:ascii="Arial" w:hAnsi="Arial"/>
          <w:snapToGrid w:val="0"/>
          <w:color w:val="000000"/>
          <w:sz w:val="16"/>
          <w:lang w:val="en-GB"/>
        </w:rPr>
        <w:tab/>
      </w:r>
    </w:p>
    <w:p w:rsidR="00000000" w:rsidRDefault="00335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</w:t>
            </w:r>
            <w:r>
              <w:rPr>
                <w:rFonts w:ascii="Arial" w:hAnsi="Arial"/>
                <w:sz w:val="16"/>
              </w:rPr>
              <w:t xml:space="preserve"> (free floating)</w:t>
            </w:r>
          </w:p>
        </w:tc>
      </w:tr>
    </w:tbl>
    <w:p w:rsidR="00000000" w:rsidRDefault="003356AB">
      <w:pPr>
        <w:tabs>
          <w:tab w:val="left" w:pos="379"/>
          <w:tab w:val="left" w:pos="1798"/>
          <w:tab w:val="left" w:pos="3281"/>
          <w:tab w:val="left" w:pos="4574"/>
          <w:tab w:val="left" w:pos="6610"/>
          <w:tab w:val="left" w:pos="8676"/>
          <w:tab w:val="left" w:pos="9686"/>
          <w:tab w:val="left" w:pos="10176"/>
        </w:tabs>
        <w:rPr>
          <w:rFonts w:ascii="Arial" w:hAnsi="Arial"/>
          <w:snapToGrid w:val="0"/>
          <w:color w:val="000000"/>
          <w:sz w:val="16"/>
          <w:lang w:val="en-GB"/>
        </w:rPr>
      </w:pPr>
      <w:r>
        <w:rPr>
          <w:rFonts w:ascii="Arial" w:hAnsi="Arial"/>
          <w:snapToGrid w:val="0"/>
          <w:color w:val="000000"/>
          <w:sz w:val="16"/>
          <w:lang w:val="en-GB"/>
        </w:rPr>
        <w:tab/>
      </w: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1388"/>
        <w:gridCol w:w="1484"/>
        <w:gridCol w:w="956"/>
        <w:gridCol w:w="283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pStyle w:val="Heading5"/>
            </w:pPr>
            <w: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5"/>
        </w:trPr>
        <w:tc>
          <w:tcPr>
            <w:tcW w:w="3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3356AB">
            <w:pPr>
              <w:pStyle w:val="Heading4"/>
            </w:pPr>
            <w:r>
              <w:t>Ortağın Adı, 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GB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GB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7"/>
        </w:trPr>
        <w:tc>
          <w:tcPr>
            <w:tcW w:w="3828" w:type="dxa"/>
            <w:gridSpan w:val="3"/>
            <w:tcBorders>
              <w:lef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T.Polis Teşkilatını Güçlendirme Vakfı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 xml:space="preserve">139.562.676.000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1,42396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7"/>
        </w:trPr>
        <w:tc>
          <w:tcPr>
            <w:tcW w:w="2872" w:type="dxa"/>
            <w:gridSpan w:val="2"/>
            <w:tcBorders>
              <w:lef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Özelleştirme İdaresi Başkanlığı</w:t>
            </w:r>
          </w:p>
        </w:tc>
        <w:tc>
          <w:tcPr>
            <w:tcW w:w="956" w:type="dxa"/>
          </w:tcPr>
          <w:p w:rsidR="00000000" w:rsidRDefault="003356A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GB"/>
              </w:rPr>
            </w:pPr>
          </w:p>
        </w:tc>
        <w:tc>
          <w:tcPr>
            <w:tcW w:w="2835" w:type="dxa"/>
            <w:tcBorders>
              <w:left w:val="single" w:sz="6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 xml:space="preserve">26.703.270.000   </w:t>
            </w:r>
          </w:p>
        </w:tc>
        <w:tc>
          <w:tcPr>
            <w:tcW w:w="212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0,27245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7"/>
        </w:trPr>
        <w:tc>
          <w:tcPr>
            <w:tcW w:w="2872" w:type="dxa"/>
            <w:gridSpan w:val="2"/>
            <w:tcBorders>
              <w:lef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AXA Oyak Sigorta A.Ş.</w:t>
            </w:r>
          </w:p>
        </w:tc>
        <w:tc>
          <w:tcPr>
            <w:tcW w:w="956" w:type="dxa"/>
          </w:tcPr>
          <w:p w:rsidR="00000000" w:rsidRDefault="003356A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GB"/>
              </w:rPr>
            </w:pPr>
          </w:p>
        </w:tc>
        <w:tc>
          <w:tcPr>
            <w:tcW w:w="2835" w:type="dxa"/>
            <w:tcBorders>
              <w:left w:val="single" w:sz="6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 xml:space="preserve">11.326.926.600   </w:t>
            </w:r>
          </w:p>
        </w:tc>
        <w:tc>
          <w:tcPr>
            <w:tcW w:w="212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0,11557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7"/>
        </w:trPr>
        <w:tc>
          <w:tcPr>
            <w:tcW w:w="2872" w:type="dxa"/>
            <w:gridSpan w:val="2"/>
            <w:tcBorders>
              <w:lef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Diğer (Tahminen</w:t>
            </w:r>
            <w:r>
              <w:rPr>
                <w:rFonts w:ascii="Arial" w:hAnsi="Arial"/>
                <w:snapToGrid w:val="0"/>
                <w:sz w:val="16"/>
                <w:lang w:val="en-GB"/>
              </w:rPr>
              <w:t xml:space="preserve"> 7.500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kişi)</w:t>
            </w:r>
          </w:p>
        </w:tc>
        <w:tc>
          <w:tcPr>
            <w:tcW w:w="956" w:type="dxa"/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</w:p>
        </w:tc>
        <w:tc>
          <w:tcPr>
            <w:tcW w:w="2835" w:type="dxa"/>
            <w:tcBorders>
              <w:left w:val="single" w:sz="6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 xml:space="preserve">1.473.034.680.000   </w:t>
            </w:r>
          </w:p>
        </w:tc>
        <w:tc>
          <w:tcPr>
            <w:tcW w:w="212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15,02943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7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TOPLAM (6)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3356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1.650.627.552.600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16,84142</w:t>
            </w:r>
          </w:p>
        </w:tc>
      </w:tr>
    </w:tbl>
    <w:p w:rsidR="00000000" w:rsidRDefault="003356AB"/>
    <w:p w:rsidR="00000000" w:rsidRDefault="003356A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29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934" w:type="dxa"/>
          </w:tcPr>
          <w:p w:rsidR="00000000" w:rsidRDefault="00335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356A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4"/>
        <w:gridCol w:w="1496"/>
        <w:gridCol w:w="2014"/>
        <w:gridCol w:w="2552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</w:t>
            </w:r>
            <w:r>
              <w:rPr>
                <w:rFonts w:ascii="Arial" w:hAnsi="Arial"/>
                <w:b/>
                <w:sz w:val="16"/>
              </w:rPr>
              <w:t>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47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3356AB">
            <w:pPr>
              <w:pStyle w:val="Heading3"/>
              <w:rPr>
                <w:b w:val="0"/>
                <w:color w:val="000000"/>
              </w:rPr>
            </w:pPr>
            <w:r>
              <w:rPr>
                <w:b w:val="0"/>
              </w:rPr>
              <w:t>GENEL TOPLAM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3356AB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/ GENERAL TOTAL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9.801.000.000.000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356AB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100</w:t>
            </w:r>
          </w:p>
        </w:tc>
      </w:tr>
    </w:tbl>
    <w:p w:rsidR="00000000" w:rsidRDefault="00335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279"/>
    <w:multiLevelType w:val="singleLevel"/>
    <w:tmpl w:val="A340782C"/>
    <w:lvl w:ilvl="0">
      <w:start w:val="3"/>
      <w:numFmt w:val="upperLetter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" w15:restartNumberingAfterBreak="0">
    <w:nsid w:val="65E01011"/>
    <w:multiLevelType w:val="singleLevel"/>
    <w:tmpl w:val="37E6E4AC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55425026">
    <w:abstractNumId w:val="0"/>
  </w:num>
  <w:num w:numId="2" w16cid:durableId="93575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6AB"/>
    <w:rsid w:val="003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101EB-80C6-48C9-9782-2B59EB5D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 w:val="16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sz w:val="16"/>
      <w:lang w:val="en-GB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379"/>
        <w:tab w:val="left" w:pos="1798"/>
        <w:tab w:val="left" w:pos="3281"/>
        <w:tab w:val="left" w:pos="4574"/>
        <w:tab w:val="left" w:pos="6610"/>
        <w:tab w:val="left" w:pos="8676"/>
        <w:tab w:val="left" w:pos="9686"/>
        <w:tab w:val="left" w:pos="10176"/>
      </w:tabs>
    </w:pPr>
    <w:rPr>
      <w:rFonts w:ascii="Arial" w:hAnsi="Arial"/>
      <w:snapToGrid w:val="0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2022-09-01T21:58:00Z</dcterms:created>
  <dcterms:modified xsi:type="dcterms:W3CDTF">2022-09-01T21:58:00Z</dcterms:modified>
</cp:coreProperties>
</file>