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pStyle w:val="Heading2"/>
            </w:pPr>
            <w:r>
              <w:t>KARSAN OTOMOTİV SANAYİİ VE TİCARET A.Ş.</w:t>
            </w:r>
          </w:p>
        </w:tc>
      </w:tr>
    </w:tbl>
    <w:p w:rsidR="00000000" w:rsidRDefault="000C4E7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PEUGEOT CİTROEN AUTOMOBİLES SOCIETE ANONIME LİSANSIYLA PEUGEOT J9, BOXER VE PARTNER ARAÇLARI İLE TOFAŞ İÇİN FİAT DUCATO ARACI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DİNİZ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İLHAN KALKANOĞLU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KLOD NA</w:t>
            </w:r>
            <w:r>
              <w:rPr>
                <w:rFonts w:ascii="Arial" w:hAnsi="Arial"/>
                <w:color w:val="000000"/>
                <w:sz w:val="16"/>
              </w:rPr>
              <w:t>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MACİT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KÖSEMEN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70 ( 25 )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</w:t>
            </w:r>
            <w:r>
              <w:rPr>
                <w:rFonts w:ascii="Arial" w:hAnsi="Arial"/>
                <w:b/>
                <w:color w:val="000000"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000000"/>
                <w:lang w:val="tr-TR"/>
              </w:rPr>
              <w:t>2.400.000.000.000 TL</w:t>
            </w:r>
            <w:r>
              <w:rPr>
                <w:b/>
                <w:i w:val="0"/>
                <w:color w:val="000000"/>
                <w:lang w:val="tr-TR"/>
              </w:rPr>
              <w:t>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4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4E7D">
            <w:pPr>
              <w:pStyle w:val="Heading4"/>
            </w:pPr>
            <w:r>
              <w:t>National Market</w:t>
            </w:r>
          </w:p>
        </w:tc>
      </w:tr>
    </w:tbl>
    <w:p w:rsidR="00000000" w:rsidRDefault="000C4E7D">
      <w:pPr>
        <w:pStyle w:val="BodyText3"/>
        <w:ind w:right="-759"/>
        <w:rPr>
          <w:b w:val="0"/>
        </w:rPr>
      </w:pPr>
      <w:r>
        <w:rPr>
          <w:b w:val="0"/>
        </w:rPr>
        <w:t>* Şirketimiz 22 Aralık 2000 tarih 41922 Sayı İle kayıtlı sermaye tavanına geçmek için Sermaye</w:t>
      </w:r>
      <w:r>
        <w:rPr>
          <w:b w:val="0"/>
        </w:rPr>
        <w:t xml:space="preserve"> Piyasası Kurulu (SPK )’ na müracaat edip kayıtlı sermaye tavanı 12.000.000.000.000 TL olarak belirlenmiştir. Söz Konusu Müracaatımız SPK’ nın 01.02.2001 Tarih Ve 5 / 113 Sayılı Kararı İle Uygun Görülmüştür.  </w:t>
      </w: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E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</w:t>
            </w:r>
            <w:r>
              <w:rPr>
                <w:rFonts w:ascii="Arial TUR" w:hAnsi="Arial TUR"/>
                <w:sz w:val="16"/>
              </w:rPr>
              <w:t xml:space="preserve"> iki yıl itibari ile üretim bilgileri aşağıda gösterilmiştir.</w:t>
            </w:r>
          </w:p>
        </w:tc>
        <w:tc>
          <w:tcPr>
            <w:tcW w:w="1134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C4E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E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Peugeot J9 (Adet)</w:t>
            </w:r>
          </w:p>
        </w:tc>
        <w:tc>
          <w:tcPr>
            <w:tcW w:w="806" w:type="dxa"/>
          </w:tcPr>
          <w:p w:rsidR="00000000" w:rsidRDefault="000C4E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4E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Peugeot Partner (Adet)</w:t>
            </w:r>
          </w:p>
        </w:tc>
        <w:tc>
          <w:tcPr>
            <w:tcW w:w="818" w:type="dxa"/>
          </w:tcPr>
          <w:p w:rsidR="00000000" w:rsidRDefault="000C4E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4E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Peugeot Boxer</w:t>
            </w:r>
          </w:p>
          <w:p w:rsidR="00000000" w:rsidRDefault="000C4E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Fiat Ducato (Adet)</w:t>
            </w:r>
          </w:p>
        </w:tc>
        <w:tc>
          <w:tcPr>
            <w:tcW w:w="818" w:type="dxa"/>
          </w:tcPr>
          <w:p w:rsidR="00000000" w:rsidRDefault="000C4E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4E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gilizcesi</w:t>
            </w:r>
          </w:p>
        </w:tc>
        <w:tc>
          <w:tcPr>
            <w:tcW w:w="806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4E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4E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4E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E7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7.089</w:t>
            </w:r>
          </w:p>
        </w:tc>
        <w:tc>
          <w:tcPr>
            <w:tcW w:w="806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128,89</w:t>
            </w:r>
          </w:p>
        </w:tc>
        <w:tc>
          <w:tcPr>
            <w:tcW w:w="1990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3.597</w:t>
            </w:r>
          </w:p>
        </w:tc>
        <w:tc>
          <w:tcPr>
            <w:tcW w:w="818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65,04</w:t>
            </w:r>
          </w:p>
        </w:tc>
        <w:tc>
          <w:tcPr>
            <w:tcW w:w="1908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6.259</w:t>
            </w:r>
          </w:p>
        </w:tc>
        <w:tc>
          <w:tcPr>
            <w:tcW w:w="806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89,41</w:t>
            </w:r>
          </w:p>
        </w:tc>
        <w:tc>
          <w:tcPr>
            <w:tcW w:w="1990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9.331</w:t>
            </w:r>
          </w:p>
        </w:tc>
        <w:tc>
          <w:tcPr>
            <w:tcW w:w="818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93,31</w:t>
            </w:r>
          </w:p>
        </w:tc>
        <w:tc>
          <w:tcPr>
            <w:tcW w:w="1908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3.765</w:t>
            </w:r>
          </w:p>
        </w:tc>
        <w:tc>
          <w:tcPr>
            <w:tcW w:w="818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47,06</w:t>
            </w:r>
          </w:p>
        </w:tc>
      </w:tr>
    </w:tbl>
    <w:p w:rsidR="00000000" w:rsidRDefault="000C4E7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C4E7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E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</w:t>
            </w:r>
            <w:r>
              <w:rPr>
                <w:rFonts w:ascii="Arial TUR" w:hAnsi="Arial TUR"/>
                <w:sz w:val="16"/>
              </w:rPr>
              <w:t>e satış miktarı bilgileri aşağıda gösterilmiştir.</w:t>
            </w:r>
          </w:p>
        </w:tc>
        <w:tc>
          <w:tcPr>
            <w:tcW w:w="1134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C4E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E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4E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Peugeot J9 (Adet)</w:t>
            </w:r>
          </w:p>
        </w:tc>
        <w:tc>
          <w:tcPr>
            <w:tcW w:w="1990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Peugeot Partner (Adet)</w:t>
            </w:r>
          </w:p>
        </w:tc>
        <w:tc>
          <w:tcPr>
            <w:tcW w:w="1908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Peugeot Boxer</w:t>
            </w:r>
          </w:p>
          <w:p w:rsidR="00000000" w:rsidRDefault="000C4E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Fiat Ducato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7.137</w:t>
            </w:r>
          </w:p>
        </w:tc>
        <w:tc>
          <w:tcPr>
            <w:tcW w:w="1990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3.66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908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6.259</w:t>
            </w:r>
          </w:p>
        </w:tc>
        <w:tc>
          <w:tcPr>
            <w:tcW w:w="1990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9.282</w:t>
            </w:r>
          </w:p>
        </w:tc>
        <w:tc>
          <w:tcPr>
            <w:tcW w:w="1908" w:type="dxa"/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3.661</w:t>
            </w:r>
          </w:p>
        </w:tc>
      </w:tr>
    </w:tbl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E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C4E7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268"/>
        <w:gridCol w:w="2127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Maliyetler </w:t>
            </w:r>
            <w:r>
              <w:rPr>
                <w:rFonts w:ascii="Arial TUR" w:hAnsi="Arial TUR"/>
                <w:b/>
                <w:color w:val="000000"/>
                <w:sz w:val="16"/>
              </w:rPr>
              <w:t>İçindeki Payı(%)</w:t>
            </w:r>
          </w:p>
        </w:tc>
        <w:tc>
          <w:tcPr>
            <w:tcW w:w="2127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7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0C4E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84" w:type="dxa"/>
          </w:tcPr>
          <w:p w:rsidR="00000000" w:rsidRDefault="000C4E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26.243.743.000.000</w:t>
            </w:r>
          </w:p>
          <w:p w:rsidR="00000000" w:rsidRDefault="000C4E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58.744.794</w:t>
            </w:r>
          </w:p>
        </w:tc>
        <w:tc>
          <w:tcPr>
            <w:tcW w:w="2268" w:type="dxa"/>
          </w:tcPr>
          <w:p w:rsidR="00000000" w:rsidRDefault="000C4E7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59,98</w:t>
            </w:r>
          </w:p>
          <w:p w:rsidR="00000000" w:rsidRDefault="000C4E7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0C4E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20.488.524.000.000</w:t>
            </w:r>
          </w:p>
          <w:p w:rsidR="00000000" w:rsidRDefault="000C4E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50.070.803</w:t>
            </w:r>
          </w:p>
        </w:tc>
        <w:tc>
          <w:tcPr>
            <w:tcW w:w="2268" w:type="dxa"/>
          </w:tcPr>
          <w:p w:rsidR="00000000" w:rsidRDefault="000C4E7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40,34</w:t>
            </w:r>
          </w:p>
          <w:p w:rsidR="00000000" w:rsidRDefault="000C4E7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0C4E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0C4E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75.291.804.308.400</w:t>
            </w:r>
          </w:p>
          <w:p w:rsidR="00000000" w:rsidRDefault="000C4E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124.534.735</w:t>
            </w:r>
          </w:p>
        </w:tc>
        <w:tc>
          <w:tcPr>
            <w:tcW w:w="2268" w:type="dxa"/>
          </w:tcPr>
          <w:p w:rsidR="00000000" w:rsidRDefault="000C4E7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72,46</w:t>
            </w:r>
          </w:p>
        </w:tc>
        <w:tc>
          <w:tcPr>
            <w:tcW w:w="2127" w:type="dxa"/>
          </w:tcPr>
          <w:p w:rsidR="00000000" w:rsidRDefault="000C4E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14.975.755.121.300</w:t>
            </w:r>
          </w:p>
          <w:p w:rsidR="00000000" w:rsidRDefault="000C4E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24.663.982</w:t>
            </w:r>
          </w:p>
        </w:tc>
        <w:tc>
          <w:tcPr>
            <w:tcW w:w="2268" w:type="dxa"/>
          </w:tcPr>
          <w:p w:rsidR="00000000" w:rsidRDefault="000C4E7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12,26</w:t>
            </w:r>
          </w:p>
          <w:p w:rsidR="00000000" w:rsidRDefault="000C4E7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C4E7D">
      <w:pPr>
        <w:rPr>
          <w:rFonts w:ascii="Arial" w:hAnsi="Arial"/>
          <w:b/>
          <w:u w:val="single"/>
        </w:rPr>
      </w:pPr>
    </w:p>
    <w:p w:rsidR="00000000" w:rsidRDefault="000C4E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C4E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C4E7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C4E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C4E7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4E7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</w:t>
            </w:r>
            <w:r>
              <w:rPr>
                <w:rFonts w:ascii="Arial TUR" w:hAnsi="Arial TUR"/>
                <w:b/>
                <w:color w:val="000000"/>
                <w:sz w:val="16"/>
              </w:rPr>
              <w:t>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4E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4E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$)</w:t>
            </w:r>
          </w:p>
        </w:tc>
        <w:tc>
          <w:tcPr>
            <w:tcW w:w="1843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FABRİKA YATIRIMI</w:t>
            </w:r>
          </w:p>
          <w:p w:rsidR="00000000" w:rsidRDefault="000C4E7D">
            <w:pPr>
              <w:pStyle w:val="Heading3"/>
              <w:rPr>
                <w:rFonts w:ascii="Arial" w:hAnsi="Arial"/>
              </w:rPr>
            </w:pPr>
            <w:r>
              <w:t>(Complete new plant investment)</w:t>
            </w:r>
          </w:p>
        </w:tc>
        <w:tc>
          <w:tcPr>
            <w:tcW w:w="2043" w:type="dxa"/>
          </w:tcPr>
          <w:p w:rsidR="00000000" w:rsidRDefault="000C4E7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16.12.1997-31.12.2001</w:t>
            </w:r>
          </w:p>
        </w:tc>
        <w:tc>
          <w:tcPr>
            <w:tcW w:w="2209" w:type="dxa"/>
          </w:tcPr>
          <w:p w:rsidR="00000000" w:rsidRDefault="000C4E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118.450.000</w:t>
            </w:r>
          </w:p>
        </w:tc>
        <w:tc>
          <w:tcPr>
            <w:tcW w:w="1843" w:type="dxa"/>
          </w:tcPr>
          <w:p w:rsidR="00000000" w:rsidRDefault="000C4E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57.294.850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4E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ÇEV</w:t>
            </w:r>
            <w:r>
              <w:rPr>
                <w:rFonts w:ascii="Arial" w:hAnsi="Arial"/>
                <w:sz w:val="16"/>
              </w:rPr>
              <w:t>RE KORUMA</w:t>
            </w:r>
          </w:p>
          <w:p w:rsidR="00000000" w:rsidRDefault="000C4E7D">
            <w:pPr>
              <w:pStyle w:val="Heading3"/>
              <w:rPr>
                <w:rFonts w:ascii="Arial" w:hAnsi="Arial"/>
              </w:rPr>
            </w:pPr>
            <w:r>
              <w:t>(Environmant conservation investment)</w:t>
            </w:r>
          </w:p>
        </w:tc>
        <w:tc>
          <w:tcPr>
            <w:tcW w:w="2043" w:type="dxa"/>
          </w:tcPr>
          <w:p w:rsidR="00000000" w:rsidRDefault="000C4E7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04.03.1999-31.03.2001</w:t>
            </w:r>
          </w:p>
        </w:tc>
        <w:tc>
          <w:tcPr>
            <w:tcW w:w="2209" w:type="dxa"/>
          </w:tcPr>
          <w:p w:rsidR="00000000" w:rsidRDefault="000C4E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1.240.000</w:t>
            </w:r>
          </w:p>
        </w:tc>
        <w:tc>
          <w:tcPr>
            <w:tcW w:w="1843" w:type="dxa"/>
          </w:tcPr>
          <w:p w:rsidR="00000000" w:rsidRDefault="000C4E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977.104</w:t>
            </w:r>
          </w:p>
        </w:tc>
      </w:tr>
    </w:tbl>
    <w:p w:rsidR="00000000" w:rsidRDefault="000C4E7D">
      <w:pPr>
        <w:rPr>
          <w:rFonts w:ascii="Arial" w:hAnsi="Arial"/>
          <w:sz w:val="16"/>
        </w:rPr>
      </w:pPr>
    </w:p>
    <w:p w:rsidR="00000000" w:rsidRDefault="000C4E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E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0C4E7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4E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0C4E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4E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C4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ELK. ÜRETİMİ A.Ş</w:t>
            </w:r>
          </w:p>
        </w:tc>
        <w:tc>
          <w:tcPr>
            <w:tcW w:w="2299" w:type="dxa"/>
          </w:tcPr>
          <w:p w:rsidR="00000000" w:rsidRDefault="000C4E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78.400.000.000</w:t>
            </w:r>
          </w:p>
        </w:tc>
        <w:tc>
          <w:tcPr>
            <w:tcW w:w="2342" w:type="dxa"/>
          </w:tcPr>
          <w:p w:rsidR="00000000" w:rsidRDefault="000C4E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4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 ENERJİ ELK.ÜRET.A.Ş</w:t>
            </w:r>
          </w:p>
        </w:tc>
        <w:tc>
          <w:tcPr>
            <w:tcW w:w="2299" w:type="dxa"/>
          </w:tcPr>
          <w:p w:rsidR="00000000" w:rsidRDefault="000C4E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</w:t>
            </w:r>
          </w:p>
        </w:tc>
        <w:tc>
          <w:tcPr>
            <w:tcW w:w="2342" w:type="dxa"/>
          </w:tcPr>
          <w:p w:rsidR="00000000" w:rsidRDefault="000C4E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C4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31/12/2000 tarihi itibari</w:t>
            </w:r>
            <w:r>
              <w:rPr>
                <w:rFonts w:ascii="Arial" w:hAnsi="Arial"/>
                <w:b/>
                <w:sz w:val="16"/>
              </w:rPr>
              <w:t xml:space="preserve">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C4E7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4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E7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</w:t>
            </w:r>
            <w:r>
              <w:rPr>
                <w:rFonts w:ascii="Arial" w:hAnsi="Arial"/>
                <w:sz w:val="16"/>
              </w:rPr>
              <w:t>k ve Tüzel Kişi Ortaklar</w:t>
            </w:r>
          </w:p>
        </w:tc>
        <w:tc>
          <w:tcPr>
            <w:tcW w:w="1134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Kıraça Otomotiv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 xml:space="preserve">.774.364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1.774.364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73,93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4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İnan KIRAÇ - Yön.Kurulu 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ind w:right="-24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54.051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2160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Talat DİNİZ - Yön.Kurulu Başkan Vekili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ind w:right="-24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35.023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2160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O. İlhan KALKANOĞLU -Y.K.Başkan Vekili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ind w:right="-24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120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2160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ind w:right="-24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89.195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2160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3,72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</w:t>
            </w:r>
            <w:r>
              <w:rPr>
                <w:rFonts w:ascii="Arial" w:hAnsi="Arial"/>
                <w:sz w:val="16"/>
              </w:rPr>
              <w:t>ssistant general manager, director etc.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H.İbrahim TAMYAMAN-Gen.Müd.Yrd-Mali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28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28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C4E7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Sedat DİNİZ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34.656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F. Suna KÜÇÜKOĞLU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34.658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Ayşe Selen TÜRKEL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17.968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87.282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3,64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E7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</w:t>
            </w:r>
            <w:r>
              <w:rPr>
                <w:rFonts w:ascii="Arial" w:hAnsi="Arial"/>
                <w:sz w:val="16"/>
              </w:rPr>
              <w:t xml:space="preserve">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</w:t>
            </w:r>
            <w:r>
              <w:rPr>
                <w:rFonts w:ascii="Arial" w:hAnsi="Arial"/>
                <w:sz w:val="16"/>
              </w:rPr>
              <w:t>t are a part of the same Holding, Group or Conglomerate with the shareholders in subtitle (A)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  <w:r>
              <w:rPr>
                <w:rFonts w:ascii="Arial" w:hAnsi="Arial"/>
                <w:sz w:val="16"/>
              </w:rPr>
              <w:t xml:space="preserve"> Ortaklar ve Halka Açık Kısım </w:t>
            </w:r>
          </w:p>
        </w:tc>
        <w:tc>
          <w:tcPr>
            <w:tcW w:w="1134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Oranı </w:t>
            </w: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HALKA AÇIK KISIM ( 11.774 ORTAK )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240.000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ind w:right="-3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 ORTAKLAR  ( 65 ORTAK 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209.131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ind w:right="-3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449.131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ind w:right="-3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18,71</w:t>
            </w:r>
          </w:p>
        </w:tc>
      </w:tr>
    </w:tbl>
    <w:p w:rsidR="00000000" w:rsidRDefault="000C4E7D">
      <w:pPr>
        <w:ind w:right="-1231"/>
        <w:rPr>
          <w:rFonts w:ascii="Arial" w:hAnsi="Arial"/>
          <w:sz w:val="16"/>
        </w:rPr>
      </w:pPr>
    </w:p>
    <w:p w:rsidR="00000000" w:rsidRDefault="000C4E7D">
      <w:pPr>
        <w:ind w:right="-1231"/>
        <w:rPr>
          <w:rFonts w:ascii="Arial" w:hAnsi="Arial"/>
          <w:sz w:val="16"/>
        </w:rPr>
      </w:pPr>
    </w:p>
    <w:p w:rsidR="00000000" w:rsidRDefault="000C4E7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495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3261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0C4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C4E7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7D">
            <w:pPr>
              <w:ind w:right="-3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C4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7D"/>
    <w:rsid w:val="000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14BB8-B35C-436C-89E2-447F0BDB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2001-04-19T21:16:00Z</cp:lastPrinted>
  <dcterms:created xsi:type="dcterms:W3CDTF">2022-09-01T21:59:00Z</dcterms:created>
  <dcterms:modified xsi:type="dcterms:W3CDTF">2022-09-01T21:59:00Z</dcterms:modified>
</cp:coreProperties>
</file>