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SODA SANAYİİ A.Ş.</w:t>
            </w:r>
          </w:p>
        </w:tc>
      </w:tr>
    </w:tbl>
    <w:p w:rsidR="00000000" w:rsidRDefault="00773B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3BF1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16.10.1969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SODA, HAFİF SODA, AĞIR SODA, SODYUM BİKARBONAT, SODYUM SİLİKAT, SODYUM BİKROMAT, SODYUM SÜLFÜR, SODYUM SÜLFAT, BAZİK KROM SÜLFAT (TANKROM AB, TANKROM SB, TANKROM OBM, TA</w:t>
            </w:r>
            <w:r>
              <w:rPr>
                <w:rFonts w:ascii="Arial" w:hAnsi="Arial"/>
                <w:sz w:val="16"/>
              </w:rPr>
              <w:t>NKROM F24, TANKROM FS, TANKROM OB, TANKROM FO, RESİNTAN M),KROMİK ASİT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3BF1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SODAASH, LİGHT SODAASH, HEAVY SODAASH, SODIUM BICARBONATE, SODİUM SİLİCATE, SODIUM DICROMATE, SODIUM SULPHIDE,  SODIUM SULPHATE , BASİC  CHROMIUM SULPHATE  (TANKR</w:t>
            </w:r>
            <w:r>
              <w:rPr>
                <w:rFonts w:ascii="Arial" w:hAnsi="Arial"/>
                <w:i/>
                <w:sz w:val="16"/>
              </w:rPr>
              <w:t>OM AB, TANKROM SB, TANKROM OBM, TANKROM F24, TANKROM FS, TANKROM OB, TANKROM FO, RESİNTAN M),CHROMIC ACID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POSTA  KUTUSU:654           33004-KAZANLI/MERSİN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POST  BOX:654           33004-KAZANLI/MERSİN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Dİ</w:t>
            </w:r>
            <w:r>
              <w:rPr>
                <w:rFonts w:ascii="Arial" w:hAnsi="Arial"/>
                <w:color w:val="000000"/>
                <w:sz w:val="16"/>
              </w:rPr>
              <w:t>DİN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YÖNETİM KURULU </w:t>
            </w:r>
          </w:p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 TEVFİK ATEŞ KUT </w:t>
            </w:r>
          </w:p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KANPARA</w:t>
            </w:r>
          </w:p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NUR ATUKALP</w:t>
            </w:r>
          </w:p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CAHİT BÖRK</w:t>
            </w:r>
          </w:p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GÖKÇE</w:t>
            </w:r>
          </w:p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ÜNAY SABRİYE GÜLDAL</w:t>
            </w:r>
          </w:p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İHSAN ORHON</w:t>
            </w:r>
          </w:p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HALDUN SABİT ÖZFERENDECİ</w:t>
            </w:r>
          </w:p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SEVİM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0.324.451 32 32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0.324.221 90 15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466 MEMUR</w:t>
            </w:r>
          </w:p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598 İŞÇİ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466 CİVİL SERVANT</w:t>
            </w:r>
          </w:p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598 WORKER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01.01.2000  31.12.2001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3BF1">
            <w:pPr>
              <w:pStyle w:val="Heading4"/>
            </w:pPr>
            <w:r>
              <w:t>OİL CHEMİCAL RUBBER WORKERS TRADE UNİON OF TURKEY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3BF1">
            <w:pPr>
              <w:pStyle w:val="Heading3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773BF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3BF1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 xml:space="preserve">21.067.000.000.000.TL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73BF1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</w:t>
            </w:r>
            <w:r>
              <w:rPr>
                <w:rFonts w:ascii="Arial" w:hAnsi="Arial"/>
                <w:b/>
                <w:color w:val="000000"/>
                <w:sz w:val="16"/>
              </w:rPr>
              <w:t>ding Market)</w:t>
            </w:r>
          </w:p>
        </w:tc>
        <w:tc>
          <w:tcPr>
            <w:tcW w:w="142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73BF1">
            <w:pPr>
              <w:pStyle w:val="Heading4"/>
            </w:pPr>
            <w:r>
              <w:t>NATİONAL MARKET</w:t>
            </w:r>
          </w:p>
        </w:tc>
      </w:tr>
    </w:tbl>
    <w:p w:rsidR="00000000" w:rsidRDefault="00773B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3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73B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3B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73B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1229"/>
        <w:gridCol w:w="850"/>
        <w:gridCol w:w="1276"/>
        <w:gridCol w:w="850"/>
        <w:gridCol w:w="953"/>
        <w:gridCol w:w="851"/>
        <w:gridCol w:w="1228"/>
        <w:gridCol w:w="851"/>
        <w:gridCol w:w="992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1"/>
        </w:trPr>
        <w:tc>
          <w:tcPr>
            <w:tcW w:w="675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29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Sodyum Karbonat (Ton)</w:t>
            </w:r>
          </w:p>
        </w:tc>
        <w:tc>
          <w:tcPr>
            <w:tcW w:w="850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Sodyum Bikarbonat (Ton)</w:t>
            </w:r>
          </w:p>
        </w:tc>
        <w:tc>
          <w:tcPr>
            <w:tcW w:w="850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953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Sodyum Silikat (Ton)</w:t>
            </w:r>
          </w:p>
        </w:tc>
        <w:tc>
          <w:tcPr>
            <w:tcW w:w="851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28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Sodyum bikromat (Ton)</w:t>
            </w:r>
          </w:p>
        </w:tc>
        <w:tc>
          <w:tcPr>
            <w:tcW w:w="851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992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Sodyum Sülfür (Ton)</w:t>
            </w:r>
          </w:p>
        </w:tc>
        <w:tc>
          <w:tcPr>
            <w:tcW w:w="850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23"/>
        </w:trPr>
        <w:tc>
          <w:tcPr>
            <w:tcW w:w="675" w:type="dxa"/>
          </w:tcPr>
          <w:p w:rsidR="00000000" w:rsidRDefault="00773BF1">
            <w:pPr>
              <w:framePr w:hSpace="141" w:wrap="around" w:vAnchor="text" w:hAnchor="page" w:x="1234" w:y="231"/>
              <w:tabs>
                <w:tab w:val="left" w:pos="3686"/>
                <w:tab w:val="left" w:pos="3828"/>
                <w:tab w:val="left" w:pos="5245"/>
                <w:tab w:val="left" w:pos="5954"/>
                <w:tab w:val="left" w:pos="9781"/>
              </w:tabs>
              <w:ind w:left="284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29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Sodium Carbonate (Tons)</w:t>
            </w:r>
          </w:p>
        </w:tc>
        <w:tc>
          <w:tcPr>
            <w:tcW w:w="850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6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Sodium Bicarbonate (Tons)</w:t>
            </w:r>
          </w:p>
        </w:tc>
        <w:tc>
          <w:tcPr>
            <w:tcW w:w="850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53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Sodium Silicate (Tons)</w:t>
            </w:r>
          </w:p>
        </w:tc>
        <w:tc>
          <w:tcPr>
            <w:tcW w:w="851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28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Sodium Dichromate (Tons)</w:t>
            </w:r>
          </w:p>
        </w:tc>
        <w:tc>
          <w:tcPr>
            <w:tcW w:w="851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992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Sodi</w:t>
            </w:r>
            <w:r>
              <w:rPr>
                <w:rFonts w:ascii="Arial" w:hAnsi="Arial"/>
                <w:b/>
                <w:color w:val="000000"/>
                <w:sz w:val="16"/>
              </w:rPr>
              <w:t>um Sulphide (Tons)</w:t>
            </w:r>
          </w:p>
        </w:tc>
        <w:tc>
          <w:tcPr>
            <w:tcW w:w="850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5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229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650.818</w:t>
            </w:r>
          </w:p>
        </w:tc>
        <w:tc>
          <w:tcPr>
            <w:tcW w:w="850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276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75.501</w:t>
            </w:r>
          </w:p>
        </w:tc>
        <w:tc>
          <w:tcPr>
            <w:tcW w:w="850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953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53.243</w:t>
            </w:r>
          </w:p>
        </w:tc>
        <w:tc>
          <w:tcPr>
            <w:tcW w:w="851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228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38.470</w:t>
            </w:r>
          </w:p>
        </w:tc>
        <w:tc>
          <w:tcPr>
            <w:tcW w:w="851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</w:t>
            </w:r>
          </w:p>
        </w:tc>
        <w:tc>
          <w:tcPr>
            <w:tcW w:w="992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7.617</w:t>
            </w:r>
          </w:p>
        </w:tc>
        <w:tc>
          <w:tcPr>
            <w:tcW w:w="850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5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1229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678.437</w:t>
            </w:r>
          </w:p>
        </w:tc>
        <w:tc>
          <w:tcPr>
            <w:tcW w:w="850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276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79.502</w:t>
            </w:r>
          </w:p>
        </w:tc>
        <w:tc>
          <w:tcPr>
            <w:tcW w:w="850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953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41.931</w:t>
            </w:r>
          </w:p>
        </w:tc>
        <w:tc>
          <w:tcPr>
            <w:tcW w:w="851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</w:t>
            </w:r>
          </w:p>
        </w:tc>
        <w:tc>
          <w:tcPr>
            <w:tcW w:w="1228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44.010</w:t>
            </w:r>
          </w:p>
        </w:tc>
        <w:tc>
          <w:tcPr>
            <w:tcW w:w="851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</w:tc>
        <w:tc>
          <w:tcPr>
            <w:tcW w:w="992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8.894</w:t>
            </w:r>
          </w:p>
        </w:tc>
        <w:tc>
          <w:tcPr>
            <w:tcW w:w="850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5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29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50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76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50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53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51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228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51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92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50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73BF1">
      <w:pPr>
        <w:framePr w:hSpace="141" w:wrap="around" w:vAnchor="text" w:hAnchor="page" w:x="1234" w:y="231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75"/>
        <w:gridCol w:w="993"/>
        <w:gridCol w:w="850"/>
        <w:gridCol w:w="1276"/>
        <w:gridCol w:w="850"/>
        <w:gridCol w:w="1189"/>
        <w:gridCol w:w="851"/>
        <w:gridCol w:w="992"/>
        <w:gridCol w:w="851"/>
        <w:gridCol w:w="992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5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993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Sodyum Sülfat (Ton)</w:t>
            </w:r>
          </w:p>
        </w:tc>
        <w:tc>
          <w:tcPr>
            <w:tcW w:w="850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276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Tankrom (Ton)</w:t>
            </w:r>
          </w:p>
        </w:tc>
        <w:tc>
          <w:tcPr>
            <w:tcW w:w="850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189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Resintan M (Ton)</w:t>
            </w:r>
          </w:p>
        </w:tc>
        <w:tc>
          <w:tcPr>
            <w:tcW w:w="851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992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Kromik Asit (Ton)</w:t>
            </w:r>
          </w:p>
        </w:tc>
        <w:tc>
          <w:tcPr>
            <w:tcW w:w="851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992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850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5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993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Sodium Sulphat</w:t>
            </w:r>
            <w:r>
              <w:rPr>
                <w:rFonts w:ascii="Arial" w:hAnsi="Arial"/>
                <w:b/>
                <w:color w:val="000000"/>
                <w:sz w:val="16"/>
              </w:rPr>
              <w:t>e (Tons)</w:t>
            </w:r>
          </w:p>
        </w:tc>
        <w:tc>
          <w:tcPr>
            <w:tcW w:w="850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276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Basic Chromium Sulphate (Tons)</w:t>
            </w:r>
          </w:p>
        </w:tc>
        <w:tc>
          <w:tcPr>
            <w:tcW w:w="850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189" w:type="dxa"/>
          </w:tcPr>
          <w:p w:rsidR="00000000" w:rsidRDefault="00773BF1">
            <w:pPr>
              <w:framePr w:hSpace="141" w:wrap="around" w:vAnchor="text" w:hAnchor="page" w:x="1234" w:y="231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Resintan M (Tons)</w:t>
            </w:r>
          </w:p>
        </w:tc>
        <w:tc>
          <w:tcPr>
            <w:tcW w:w="851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992" w:type="dxa"/>
          </w:tcPr>
          <w:p w:rsidR="00000000" w:rsidRDefault="00773BF1">
            <w:pPr>
              <w:framePr w:hSpace="141" w:wrap="around" w:vAnchor="text" w:hAnchor="page" w:x="1234" w:y="231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Chromic Acid (Tons)</w:t>
            </w:r>
          </w:p>
        </w:tc>
        <w:tc>
          <w:tcPr>
            <w:tcW w:w="851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992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850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5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993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32.112</w:t>
            </w:r>
          </w:p>
        </w:tc>
        <w:tc>
          <w:tcPr>
            <w:tcW w:w="850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  <w:tc>
          <w:tcPr>
            <w:tcW w:w="1276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43.781</w:t>
            </w:r>
          </w:p>
        </w:tc>
        <w:tc>
          <w:tcPr>
            <w:tcW w:w="850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189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</w:t>
            </w:r>
          </w:p>
        </w:tc>
        <w:tc>
          <w:tcPr>
            <w:tcW w:w="851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992" w:type="dxa"/>
          </w:tcPr>
          <w:p w:rsidR="00000000" w:rsidRDefault="00773BF1">
            <w:pPr>
              <w:framePr w:hSpace="141" w:wrap="around" w:vAnchor="text" w:hAnchor="page" w:x="1234" w:y="231"/>
              <w:ind w:right="3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4.264</w:t>
            </w:r>
          </w:p>
        </w:tc>
        <w:tc>
          <w:tcPr>
            <w:tcW w:w="851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  <w:tc>
          <w:tcPr>
            <w:tcW w:w="992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50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78"/>
        </w:trPr>
        <w:tc>
          <w:tcPr>
            <w:tcW w:w="675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993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37.574</w:t>
            </w:r>
          </w:p>
        </w:tc>
        <w:tc>
          <w:tcPr>
            <w:tcW w:w="850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276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52.663</w:t>
            </w:r>
          </w:p>
        </w:tc>
        <w:tc>
          <w:tcPr>
            <w:tcW w:w="850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189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  <w:tc>
          <w:tcPr>
            <w:tcW w:w="851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992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6.032</w:t>
            </w:r>
          </w:p>
        </w:tc>
        <w:tc>
          <w:tcPr>
            <w:tcW w:w="851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</w:t>
            </w:r>
          </w:p>
        </w:tc>
        <w:tc>
          <w:tcPr>
            <w:tcW w:w="992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50" w:type="dxa"/>
          </w:tcPr>
          <w:p w:rsidR="00000000" w:rsidRDefault="00773BF1">
            <w:pPr>
              <w:framePr w:hSpace="141" w:wrap="around" w:vAnchor="text" w:hAnchor="page" w:x="1234" w:y="23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73BF1">
      <w:pPr>
        <w:rPr>
          <w:rFonts w:ascii="Arial" w:hAnsi="Arial"/>
          <w:sz w:val="16"/>
        </w:rPr>
      </w:pPr>
    </w:p>
    <w:p w:rsidR="00000000" w:rsidRDefault="00773BF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73BF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73BF1">
      <w:pPr>
        <w:rPr>
          <w:rFonts w:ascii="Arial" w:hAnsi="Arial"/>
          <w:sz w:val="16"/>
        </w:rPr>
      </w:pPr>
    </w:p>
    <w:p w:rsidR="00000000" w:rsidRDefault="00773BF1">
      <w:pPr>
        <w:rPr>
          <w:rFonts w:ascii="Arial" w:hAnsi="Arial"/>
          <w:sz w:val="16"/>
        </w:rPr>
      </w:pPr>
    </w:p>
    <w:p w:rsidR="00000000" w:rsidRDefault="00773BF1">
      <w:pPr>
        <w:rPr>
          <w:rFonts w:ascii="Arial" w:hAnsi="Arial"/>
          <w:sz w:val="16"/>
        </w:rPr>
      </w:pPr>
    </w:p>
    <w:p w:rsidR="00000000" w:rsidRDefault="00773BF1">
      <w:pPr>
        <w:rPr>
          <w:rFonts w:ascii="Arial" w:hAnsi="Arial"/>
          <w:sz w:val="16"/>
        </w:rPr>
      </w:pPr>
    </w:p>
    <w:p w:rsidR="00000000" w:rsidRDefault="00773BF1">
      <w:pPr>
        <w:rPr>
          <w:rFonts w:ascii="Arial" w:hAnsi="Arial"/>
          <w:sz w:val="16"/>
        </w:rPr>
      </w:pPr>
    </w:p>
    <w:p w:rsidR="00000000" w:rsidRDefault="00773BF1">
      <w:pPr>
        <w:rPr>
          <w:rFonts w:ascii="Arial" w:hAnsi="Arial"/>
          <w:sz w:val="16"/>
        </w:rPr>
      </w:pPr>
    </w:p>
    <w:p w:rsidR="00000000" w:rsidRDefault="00773BF1">
      <w:pPr>
        <w:rPr>
          <w:rFonts w:ascii="Arial" w:hAnsi="Arial"/>
          <w:sz w:val="16"/>
        </w:rPr>
      </w:pPr>
    </w:p>
    <w:p w:rsidR="00000000" w:rsidRDefault="00773B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3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</w:t>
            </w:r>
            <w:r>
              <w:rPr>
                <w:rFonts w:ascii="Arial" w:hAnsi="Arial"/>
                <w:sz w:val="16"/>
              </w:rPr>
              <w:t>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73B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3B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73BF1">
      <w:pPr>
        <w:rPr>
          <w:rFonts w:ascii="Arial" w:hAnsi="Arial"/>
          <w:sz w:val="16"/>
        </w:rPr>
      </w:pPr>
    </w:p>
    <w:p w:rsidR="00000000" w:rsidRDefault="00773BF1">
      <w:pPr>
        <w:rPr>
          <w:rFonts w:ascii="Arial" w:hAnsi="Arial"/>
          <w:sz w:val="16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710"/>
        <w:gridCol w:w="1228"/>
        <w:gridCol w:w="1362"/>
        <w:gridCol w:w="992"/>
        <w:gridCol w:w="1142"/>
        <w:gridCol w:w="992"/>
        <w:gridCol w:w="992"/>
        <w:gridCol w:w="1228"/>
        <w:gridCol w:w="1465"/>
        <w:gridCol w:w="12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773BF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228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Karbonat (Ton)</w:t>
            </w:r>
          </w:p>
        </w:tc>
        <w:tc>
          <w:tcPr>
            <w:tcW w:w="1362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Bikarbonat (Ton)</w:t>
            </w:r>
          </w:p>
        </w:tc>
        <w:tc>
          <w:tcPr>
            <w:tcW w:w="992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Silikat (Ton)</w:t>
            </w:r>
          </w:p>
        </w:tc>
        <w:tc>
          <w:tcPr>
            <w:tcW w:w="1142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bikromat (Ton)</w:t>
            </w:r>
          </w:p>
        </w:tc>
        <w:tc>
          <w:tcPr>
            <w:tcW w:w="992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Sülfür</w:t>
            </w:r>
            <w:r>
              <w:rPr>
                <w:rFonts w:ascii="Arial" w:hAnsi="Arial"/>
                <w:b/>
                <w:sz w:val="16"/>
              </w:rPr>
              <w:t xml:space="preserve"> (Ton)</w:t>
            </w:r>
          </w:p>
        </w:tc>
        <w:tc>
          <w:tcPr>
            <w:tcW w:w="992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Sodyum Sülfat (Ton)</w:t>
            </w:r>
          </w:p>
        </w:tc>
        <w:tc>
          <w:tcPr>
            <w:tcW w:w="1228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Tankrom (Ton)</w:t>
            </w:r>
          </w:p>
        </w:tc>
        <w:tc>
          <w:tcPr>
            <w:tcW w:w="1465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Resintan M (Ton)</w:t>
            </w:r>
          </w:p>
        </w:tc>
        <w:tc>
          <w:tcPr>
            <w:tcW w:w="1228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Kromik Asit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773BF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228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Carbonate (Tons)</w:t>
            </w:r>
          </w:p>
        </w:tc>
        <w:tc>
          <w:tcPr>
            <w:tcW w:w="1362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Bicarbonate (Tons)</w:t>
            </w:r>
          </w:p>
        </w:tc>
        <w:tc>
          <w:tcPr>
            <w:tcW w:w="992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Silicate (Tons)</w:t>
            </w:r>
          </w:p>
        </w:tc>
        <w:tc>
          <w:tcPr>
            <w:tcW w:w="1142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Dichromate (Tons)</w:t>
            </w:r>
          </w:p>
        </w:tc>
        <w:tc>
          <w:tcPr>
            <w:tcW w:w="992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Sulphide (Tons)</w:t>
            </w:r>
          </w:p>
        </w:tc>
        <w:tc>
          <w:tcPr>
            <w:tcW w:w="992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Sodium Sulphate (Tons)</w:t>
            </w:r>
          </w:p>
        </w:tc>
        <w:tc>
          <w:tcPr>
            <w:tcW w:w="1228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Basic Chromium Sulphate (Tons)</w:t>
            </w:r>
          </w:p>
        </w:tc>
        <w:tc>
          <w:tcPr>
            <w:tcW w:w="1465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Res</w:t>
            </w:r>
            <w:r>
              <w:rPr>
                <w:rFonts w:ascii="Arial" w:hAnsi="Arial"/>
                <w:b/>
                <w:sz w:val="16"/>
              </w:rPr>
              <w:t>intan M (Tons)</w:t>
            </w:r>
          </w:p>
        </w:tc>
        <w:tc>
          <w:tcPr>
            <w:tcW w:w="1228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Chromic Acid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710" w:type="dxa"/>
          </w:tcPr>
          <w:p w:rsidR="00000000" w:rsidRDefault="00773B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228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635.884</w:t>
            </w:r>
          </w:p>
        </w:tc>
        <w:tc>
          <w:tcPr>
            <w:tcW w:w="1362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75.312</w:t>
            </w:r>
          </w:p>
        </w:tc>
        <w:tc>
          <w:tcPr>
            <w:tcW w:w="992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54.334</w:t>
            </w:r>
          </w:p>
        </w:tc>
        <w:tc>
          <w:tcPr>
            <w:tcW w:w="1142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15.925</w:t>
            </w:r>
          </w:p>
        </w:tc>
        <w:tc>
          <w:tcPr>
            <w:tcW w:w="992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6.871</w:t>
            </w:r>
          </w:p>
        </w:tc>
        <w:tc>
          <w:tcPr>
            <w:tcW w:w="992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9.456</w:t>
            </w:r>
          </w:p>
        </w:tc>
        <w:tc>
          <w:tcPr>
            <w:tcW w:w="1228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39.755</w:t>
            </w:r>
          </w:p>
        </w:tc>
        <w:tc>
          <w:tcPr>
            <w:tcW w:w="1465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228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4.398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10" w:type="dxa"/>
          </w:tcPr>
          <w:p w:rsidR="00000000" w:rsidRDefault="00773B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1228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799.307</w:t>
            </w:r>
          </w:p>
        </w:tc>
        <w:tc>
          <w:tcPr>
            <w:tcW w:w="1362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81.340</w:t>
            </w:r>
          </w:p>
        </w:tc>
        <w:tc>
          <w:tcPr>
            <w:tcW w:w="992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45.428</w:t>
            </w:r>
          </w:p>
        </w:tc>
        <w:tc>
          <w:tcPr>
            <w:tcW w:w="1142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14.821</w:t>
            </w:r>
          </w:p>
        </w:tc>
        <w:tc>
          <w:tcPr>
            <w:tcW w:w="992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8.528</w:t>
            </w:r>
          </w:p>
        </w:tc>
        <w:tc>
          <w:tcPr>
            <w:tcW w:w="992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29.861</w:t>
            </w:r>
          </w:p>
        </w:tc>
        <w:tc>
          <w:tcPr>
            <w:tcW w:w="1228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45.386</w:t>
            </w:r>
          </w:p>
        </w:tc>
        <w:tc>
          <w:tcPr>
            <w:tcW w:w="1465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67</w:t>
            </w:r>
          </w:p>
        </w:tc>
        <w:tc>
          <w:tcPr>
            <w:tcW w:w="1228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5.309</w:t>
            </w:r>
          </w:p>
        </w:tc>
      </w:tr>
    </w:tbl>
    <w:p w:rsidR="00000000" w:rsidRDefault="00773BF1">
      <w:pPr>
        <w:rPr>
          <w:rFonts w:ascii="Arial" w:hAnsi="Arial"/>
          <w:sz w:val="16"/>
        </w:rPr>
      </w:pPr>
    </w:p>
    <w:p w:rsidR="00000000" w:rsidRDefault="00773BF1">
      <w:pPr>
        <w:rPr>
          <w:rFonts w:ascii="Arial" w:hAnsi="Arial"/>
          <w:sz w:val="16"/>
        </w:rPr>
      </w:pPr>
    </w:p>
    <w:p w:rsidR="00000000" w:rsidRDefault="00773B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3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73B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3B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73BF1">
      <w:pPr>
        <w:rPr>
          <w:rFonts w:ascii="Arial" w:hAnsi="Arial"/>
          <w:sz w:val="16"/>
        </w:rPr>
      </w:pPr>
    </w:p>
    <w:p w:rsidR="00000000" w:rsidRDefault="00773BF1">
      <w:pPr>
        <w:rPr>
          <w:rFonts w:ascii="Arial" w:hAnsi="Arial"/>
          <w:sz w:val="16"/>
        </w:rPr>
      </w:pPr>
    </w:p>
    <w:p w:rsidR="00000000" w:rsidRDefault="00773BF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73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73B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73B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73B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73B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73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73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73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73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73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905" w:type="dxa"/>
            <w:tcBorders>
              <w:bottom w:val="nil"/>
            </w:tcBorders>
          </w:tcPr>
          <w:p w:rsidR="00000000" w:rsidRDefault="00773B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</w:t>
            </w:r>
          </w:p>
        </w:tc>
        <w:tc>
          <w:tcPr>
            <w:tcW w:w="1527" w:type="dxa"/>
            <w:tcBorders>
              <w:bottom w:val="nil"/>
            </w:tcBorders>
          </w:tcPr>
          <w:p w:rsidR="00000000" w:rsidRDefault="00773BF1">
            <w:pPr>
              <w:autoSpaceDE w:val="0"/>
              <w:autoSpaceDN w:val="0"/>
              <w:adjustRightInd w:val="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6.292.147.421.266</w:t>
            </w:r>
          </w:p>
          <w:p w:rsidR="00000000" w:rsidRDefault="00773BF1">
            <w:pPr>
              <w:autoSpaceDE w:val="0"/>
              <w:autoSpaceDN w:val="0"/>
              <w:adjustRightInd w:val="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15.398.388</w:t>
            </w:r>
          </w:p>
        </w:tc>
        <w:tc>
          <w:tcPr>
            <w:tcW w:w="2410" w:type="dxa"/>
            <w:tcBorders>
              <w:bottom w:val="nil"/>
            </w:tcBorders>
          </w:tcPr>
          <w:p w:rsidR="00000000" w:rsidRDefault="00773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  <w:p w:rsidR="00000000" w:rsidRDefault="00773BF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559" w:type="dxa"/>
            <w:tcBorders>
              <w:bottom w:val="nil"/>
            </w:tcBorders>
          </w:tcPr>
          <w:p w:rsidR="00000000" w:rsidRDefault="00773BF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33.588.130.000.000</w:t>
            </w:r>
          </w:p>
          <w:p w:rsidR="00000000" w:rsidRDefault="00773BF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80.018.099</w:t>
            </w:r>
          </w:p>
        </w:tc>
        <w:tc>
          <w:tcPr>
            <w:tcW w:w="2269" w:type="dxa"/>
            <w:tcBorders>
              <w:bottom w:val="nil"/>
            </w:tcBorders>
          </w:tcPr>
          <w:p w:rsidR="00000000" w:rsidRDefault="00773BF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905" w:type="dxa"/>
            <w:tcBorders>
              <w:bottom w:val="nil"/>
            </w:tcBorders>
          </w:tcPr>
          <w:p w:rsidR="00000000" w:rsidRDefault="00773BF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1527" w:type="dxa"/>
            <w:tcBorders>
              <w:bottom w:val="nil"/>
            </w:tcBorders>
          </w:tcPr>
          <w:p w:rsidR="00000000" w:rsidRDefault="00773BF1">
            <w:pPr>
              <w:autoSpaceDE w:val="0"/>
              <w:autoSpaceDN w:val="0"/>
              <w:adjustRightInd w:val="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11.153.246.606.662</w:t>
            </w:r>
          </w:p>
          <w:p w:rsidR="00000000" w:rsidRDefault="00773BF1">
            <w:pPr>
              <w:autoSpaceDE w:val="0"/>
              <w:autoSpaceDN w:val="0"/>
              <w:adjustRightInd w:val="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17.885.002</w:t>
            </w:r>
          </w:p>
        </w:tc>
        <w:tc>
          <w:tcPr>
            <w:tcW w:w="2410" w:type="dxa"/>
            <w:tcBorders>
              <w:bottom w:val="nil"/>
            </w:tcBorders>
          </w:tcPr>
          <w:p w:rsidR="00000000" w:rsidRDefault="00773BF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11</w:t>
            </w:r>
          </w:p>
        </w:tc>
        <w:tc>
          <w:tcPr>
            <w:tcW w:w="1559" w:type="dxa"/>
            <w:tcBorders>
              <w:bottom w:val="nil"/>
            </w:tcBorders>
          </w:tcPr>
          <w:p w:rsidR="00000000" w:rsidRDefault="00773BF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47.090.870.143.179</w:t>
            </w:r>
          </w:p>
          <w:p w:rsidR="00000000" w:rsidRDefault="00773BF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73.189.294</w:t>
            </w:r>
          </w:p>
        </w:tc>
        <w:tc>
          <w:tcPr>
            <w:tcW w:w="2269" w:type="dxa"/>
            <w:tcBorders>
              <w:bottom w:val="nil"/>
            </w:tcBorders>
          </w:tcPr>
          <w:p w:rsidR="00000000" w:rsidRDefault="00773BF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46</w:t>
            </w:r>
          </w:p>
        </w:tc>
      </w:tr>
    </w:tbl>
    <w:p w:rsidR="00000000" w:rsidRDefault="00773BF1">
      <w:pPr>
        <w:rPr>
          <w:rFonts w:ascii="Arial" w:hAnsi="Arial"/>
          <w:b/>
          <w:sz w:val="16"/>
          <w:u w:val="single"/>
        </w:rPr>
      </w:pPr>
    </w:p>
    <w:p w:rsidR="00000000" w:rsidRDefault="00773BF1">
      <w:pPr>
        <w:rPr>
          <w:rFonts w:ascii="Arial" w:hAnsi="Arial"/>
          <w:b/>
          <w:sz w:val="16"/>
          <w:u w:val="single"/>
        </w:rPr>
      </w:pPr>
    </w:p>
    <w:p w:rsidR="00000000" w:rsidRDefault="00773BF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73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>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73BF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73B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belows.</w:t>
            </w:r>
          </w:p>
        </w:tc>
      </w:tr>
    </w:tbl>
    <w:p w:rsidR="00000000" w:rsidRDefault="00773BF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73BF1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773B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73B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73B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773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73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mated Inv. Amount</w:t>
            </w:r>
          </w:p>
        </w:tc>
        <w:tc>
          <w:tcPr>
            <w:tcW w:w="1843" w:type="dxa"/>
          </w:tcPr>
          <w:p w:rsidR="00000000" w:rsidRDefault="00773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73B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773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73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773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bottom"/>
          </w:tcPr>
          <w:p w:rsidR="00000000" w:rsidRDefault="00773BF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S. S.SÜLFAT ÇÖZÜMÜ</w:t>
            </w:r>
          </w:p>
        </w:tc>
        <w:tc>
          <w:tcPr>
            <w:tcW w:w="2043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02/06/2000-31/12/2002</w:t>
            </w:r>
          </w:p>
        </w:tc>
        <w:tc>
          <w:tcPr>
            <w:tcW w:w="2209" w:type="dxa"/>
            <w:vAlign w:val="bottom"/>
          </w:tcPr>
          <w:p w:rsidR="00000000" w:rsidRDefault="00773BF1">
            <w:pPr>
              <w:ind w:left="-142"/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6.000.000</w:t>
            </w:r>
          </w:p>
        </w:tc>
        <w:tc>
          <w:tcPr>
            <w:tcW w:w="1843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bottom"/>
          </w:tcPr>
          <w:p w:rsidR="00000000" w:rsidRDefault="00773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Asidification By Cabondioxide(S. Sülphat Solution)</w:t>
            </w:r>
          </w:p>
        </w:tc>
        <w:tc>
          <w:tcPr>
            <w:tcW w:w="2043" w:type="dxa"/>
            <w:vAlign w:val="bottom"/>
          </w:tcPr>
          <w:p w:rsidR="00000000" w:rsidRDefault="00773B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  <w:vAlign w:val="bottom"/>
          </w:tcPr>
          <w:p w:rsidR="00000000" w:rsidRDefault="00773BF1">
            <w:pPr>
              <w:ind w:left="-14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bottom"/>
          </w:tcPr>
          <w:p w:rsidR="00000000" w:rsidRDefault="00773BF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bottom"/>
          </w:tcPr>
          <w:p w:rsidR="00000000" w:rsidRDefault="00773BF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KROMİK AS</w:t>
            </w:r>
            <w:r>
              <w:rPr>
                <w:rFonts w:ascii="Arial" w:eastAsia="Arial Unicode MS" w:hAnsi="Arial"/>
                <w:sz w:val="16"/>
              </w:rPr>
              <w:t>İT MODERNİZASYONU</w:t>
            </w:r>
          </w:p>
        </w:tc>
        <w:tc>
          <w:tcPr>
            <w:tcW w:w="2043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01/01/1999-30/06/2001</w:t>
            </w:r>
          </w:p>
        </w:tc>
        <w:tc>
          <w:tcPr>
            <w:tcW w:w="2209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1.500.000</w:t>
            </w:r>
          </w:p>
        </w:tc>
        <w:tc>
          <w:tcPr>
            <w:tcW w:w="1843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 xml:space="preserve">     3.628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  <w:vAlign w:val="bottom"/>
          </w:tcPr>
          <w:p w:rsidR="00000000" w:rsidRDefault="00773BF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eastAsia="Arial Unicode MS" w:hAnsi="Arial"/>
                <w:sz w:val="16"/>
              </w:rPr>
              <w:t>Modernization of Chromic Acid</w:t>
            </w:r>
          </w:p>
        </w:tc>
        <w:tc>
          <w:tcPr>
            <w:tcW w:w="2043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2209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  <w:tc>
          <w:tcPr>
            <w:tcW w:w="1843" w:type="dxa"/>
            <w:vAlign w:val="bottom"/>
          </w:tcPr>
          <w:p w:rsidR="00000000" w:rsidRDefault="00773BF1">
            <w:pPr>
              <w:jc w:val="center"/>
              <w:rPr>
                <w:rFonts w:ascii="Arial" w:eastAsia="Arial Unicode MS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ENERJİ ÜRETİM TÜRBİN</w:t>
            </w:r>
          </w:p>
        </w:tc>
        <w:tc>
          <w:tcPr>
            <w:tcW w:w="2043" w:type="dxa"/>
            <w:vAlign w:val="center"/>
          </w:tcPr>
          <w:p w:rsidR="00000000" w:rsidRDefault="00773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1998-31/12/2000</w:t>
            </w:r>
          </w:p>
        </w:tc>
        <w:tc>
          <w:tcPr>
            <w:tcW w:w="2209" w:type="dxa"/>
            <w:vAlign w:val="center"/>
          </w:tcPr>
          <w:p w:rsidR="00000000" w:rsidRDefault="00773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3.657.817</w:t>
            </w:r>
          </w:p>
        </w:tc>
        <w:tc>
          <w:tcPr>
            <w:tcW w:w="1843" w:type="dxa"/>
            <w:vAlign w:val="center"/>
          </w:tcPr>
          <w:p w:rsidR="00000000" w:rsidRDefault="00773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3.192.849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Power Production  Turbine</w:t>
            </w:r>
          </w:p>
        </w:tc>
        <w:tc>
          <w:tcPr>
            <w:tcW w:w="2043" w:type="dxa"/>
            <w:vAlign w:val="center"/>
          </w:tcPr>
          <w:p w:rsidR="00000000" w:rsidRDefault="00773BF1">
            <w:pPr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  <w:vAlign w:val="center"/>
          </w:tcPr>
          <w:p w:rsidR="00000000" w:rsidRDefault="00773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</w:t>
            </w:r>
          </w:p>
        </w:tc>
        <w:tc>
          <w:tcPr>
            <w:tcW w:w="1843" w:type="dxa"/>
            <w:vAlign w:val="center"/>
          </w:tcPr>
          <w:p w:rsidR="00000000" w:rsidRDefault="00773B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TUZLU SU ÜRETİM HATLARI</w:t>
            </w:r>
          </w:p>
        </w:tc>
        <w:tc>
          <w:tcPr>
            <w:tcW w:w="2043" w:type="dxa"/>
            <w:vAlign w:val="center"/>
          </w:tcPr>
          <w:p w:rsidR="00000000" w:rsidRDefault="00773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2000-31/12/</w:t>
            </w: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09" w:type="dxa"/>
            <w:vAlign w:val="center"/>
          </w:tcPr>
          <w:p w:rsidR="00000000" w:rsidRDefault="00773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160.000</w:t>
            </w:r>
          </w:p>
        </w:tc>
        <w:tc>
          <w:tcPr>
            <w:tcW w:w="1843" w:type="dxa"/>
            <w:vAlign w:val="center"/>
          </w:tcPr>
          <w:p w:rsidR="00000000" w:rsidRDefault="00773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132.475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Brine Production Line</w:t>
            </w:r>
          </w:p>
        </w:tc>
        <w:tc>
          <w:tcPr>
            <w:tcW w:w="2043" w:type="dxa"/>
            <w:vAlign w:val="center"/>
          </w:tcPr>
          <w:p w:rsidR="00000000" w:rsidRDefault="00773B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  <w:vAlign w:val="center"/>
          </w:tcPr>
          <w:p w:rsidR="00000000" w:rsidRDefault="00773BF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773BF1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HAMBİKARBONAT ÜNİTESİ BANT FİLİTRESİ</w:t>
            </w:r>
          </w:p>
        </w:tc>
        <w:tc>
          <w:tcPr>
            <w:tcW w:w="2043" w:type="dxa"/>
            <w:vAlign w:val="center"/>
          </w:tcPr>
          <w:p w:rsidR="00000000" w:rsidRDefault="00773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2000-31/12/2001</w:t>
            </w:r>
          </w:p>
        </w:tc>
        <w:tc>
          <w:tcPr>
            <w:tcW w:w="2209" w:type="dxa"/>
            <w:vAlign w:val="center"/>
          </w:tcPr>
          <w:p w:rsidR="00000000" w:rsidRDefault="00773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450.764</w:t>
            </w:r>
          </w:p>
        </w:tc>
        <w:tc>
          <w:tcPr>
            <w:tcW w:w="1843" w:type="dxa"/>
            <w:vAlign w:val="center"/>
          </w:tcPr>
          <w:p w:rsidR="00000000" w:rsidRDefault="00773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37.432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Bicarbonate Felt Filther</w:t>
            </w:r>
          </w:p>
        </w:tc>
        <w:tc>
          <w:tcPr>
            <w:tcW w:w="2043" w:type="dxa"/>
            <w:vAlign w:val="center"/>
          </w:tcPr>
          <w:p w:rsidR="00000000" w:rsidRDefault="00773BF1">
            <w:pPr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  <w:vAlign w:val="center"/>
          </w:tcPr>
          <w:p w:rsidR="00000000" w:rsidRDefault="00773BF1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773BF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YÖNETİM BİNASI</w:t>
            </w:r>
          </w:p>
        </w:tc>
        <w:tc>
          <w:tcPr>
            <w:tcW w:w="2043" w:type="dxa"/>
            <w:vAlign w:val="center"/>
          </w:tcPr>
          <w:p w:rsidR="00000000" w:rsidRDefault="00773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14/03/2000-30/04/2001</w:t>
            </w:r>
          </w:p>
        </w:tc>
        <w:tc>
          <w:tcPr>
            <w:tcW w:w="2209" w:type="dxa"/>
            <w:vAlign w:val="center"/>
          </w:tcPr>
          <w:p w:rsidR="00000000" w:rsidRDefault="00773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950.000</w:t>
            </w:r>
          </w:p>
        </w:tc>
        <w:tc>
          <w:tcPr>
            <w:tcW w:w="1843" w:type="dxa"/>
            <w:vAlign w:val="center"/>
          </w:tcPr>
          <w:p w:rsidR="00000000" w:rsidRDefault="00773BF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344.307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Sisecam Group Head Office</w:t>
            </w:r>
          </w:p>
        </w:tc>
        <w:tc>
          <w:tcPr>
            <w:tcW w:w="2043" w:type="dxa"/>
            <w:vAlign w:val="center"/>
          </w:tcPr>
          <w:p w:rsidR="00000000" w:rsidRDefault="00773BF1">
            <w:pPr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  <w:vAlign w:val="center"/>
          </w:tcPr>
          <w:p w:rsidR="00000000" w:rsidRDefault="00773BF1">
            <w:pPr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773BF1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773BF1">
      <w:pPr>
        <w:rPr>
          <w:rFonts w:ascii="Arial" w:hAnsi="Arial"/>
          <w:sz w:val="16"/>
        </w:rPr>
      </w:pPr>
    </w:p>
    <w:p w:rsidR="00000000" w:rsidRDefault="00773BF1">
      <w:pPr>
        <w:rPr>
          <w:rFonts w:ascii="Arial" w:hAnsi="Arial"/>
          <w:sz w:val="16"/>
        </w:rPr>
      </w:pPr>
    </w:p>
    <w:p w:rsidR="00000000" w:rsidRDefault="00773BF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3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 xml:space="preserve">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73B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3BF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73BF1">
      <w:pPr>
        <w:rPr>
          <w:rFonts w:ascii="Arial" w:hAnsi="Arial"/>
          <w:sz w:val="16"/>
        </w:rPr>
      </w:pPr>
    </w:p>
    <w:p w:rsidR="00000000" w:rsidRDefault="00773BF1">
      <w:pPr>
        <w:rPr>
          <w:rFonts w:ascii="Arial" w:hAnsi="Arial"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268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73BF1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68" w:type="dxa"/>
          </w:tcPr>
          <w:p w:rsidR="00000000" w:rsidRDefault="00773B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127" w:type="dxa"/>
          </w:tcPr>
          <w:p w:rsidR="00000000" w:rsidRDefault="00773BF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73BF1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68" w:type="dxa"/>
          </w:tcPr>
          <w:p w:rsidR="00000000" w:rsidRDefault="00773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ation Capital</w:t>
            </w:r>
          </w:p>
        </w:tc>
        <w:tc>
          <w:tcPr>
            <w:tcW w:w="2127" w:type="dxa"/>
          </w:tcPr>
          <w:p w:rsidR="00000000" w:rsidRDefault="00773BF1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DENİZLİ CAM SANAYİİ  VE TİCARET A.Ş.(*)</w:t>
            </w:r>
          </w:p>
        </w:tc>
        <w:tc>
          <w:tcPr>
            <w:tcW w:w="2268" w:type="dxa"/>
          </w:tcPr>
          <w:p w:rsidR="00000000" w:rsidRDefault="00773BF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421.652.172.000.TL </w:t>
            </w:r>
          </w:p>
        </w:tc>
        <w:tc>
          <w:tcPr>
            <w:tcW w:w="2127" w:type="dxa"/>
          </w:tcPr>
          <w:p w:rsidR="00000000" w:rsidRDefault="00773BF1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16,22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ELEK. ÜR.  OTOPRODÜKTÖR GRUBU A.Ş.</w:t>
            </w:r>
          </w:p>
        </w:tc>
        <w:tc>
          <w:tcPr>
            <w:tcW w:w="2268" w:type="dxa"/>
          </w:tcPr>
          <w:p w:rsidR="00000000" w:rsidRDefault="00773BF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6.249.600.000.TL</w:t>
            </w:r>
          </w:p>
        </w:tc>
        <w:tc>
          <w:tcPr>
            <w:tcW w:w="2127" w:type="dxa"/>
          </w:tcPr>
          <w:p w:rsidR="00000000" w:rsidRDefault="00773BF1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OXYVİT KİMYA SANAYİİ  VE TİCARET A.Ş.</w:t>
            </w:r>
          </w:p>
        </w:tc>
        <w:tc>
          <w:tcPr>
            <w:tcW w:w="2268" w:type="dxa"/>
          </w:tcPr>
          <w:p w:rsidR="00000000" w:rsidRDefault="00773BF1">
            <w:pPr>
              <w:ind w:left="112" w:right="112" w:hanging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440.000.000.000.TL</w:t>
            </w:r>
          </w:p>
        </w:tc>
        <w:tc>
          <w:tcPr>
            <w:tcW w:w="2127" w:type="dxa"/>
          </w:tcPr>
          <w:p w:rsidR="00000000" w:rsidRDefault="00773BF1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</w:t>
            </w:r>
            <w:r>
              <w:rPr>
                <w:rFonts w:ascii="Arial" w:hAnsi="Arial"/>
                <w:color w:val="000000"/>
                <w:sz w:val="16"/>
              </w:rPr>
              <w:t xml:space="preserve">   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SOLVAY ŞİŞECAM HOLDİNG A.G. (199.000.ATS.)</w:t>
            </w:r>
          </w:p>
        </w:tc>
        <w:tc>
          <w:tcPr>
            <w:tcW w:w="2268" w:type="dxa"/>
          </w:tcPr>
          <w:p w:rsidR="00000000" w:rsidRDefault="00773BF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4.508.795.527.388.TL.</w:t>
            </w:r>
          </w:p>
        </w:tc>
        <w:tc>
          <w:tcPr>
            <w:tcW w:w="2127" w:type="dxa"/>
          </w:tcPr>
          <w:p w:rsidR="00000000" w:rsidRDefault="00773BF1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19,12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ŞİŞECAM BULGARİA LTD.(BGL) </w:t>
            </w:r>
          </w:p>
          <w:p w:rsidR="00000000" w:rsidRDefault="00773BF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(5.000.BGL)</w:t>
            </w:r>
          </w:p>
        </w:tc>
        <w:tc>
          <w:tcPr>
            <w:tcW w:w="2268" w:type="dxa"/>
          </w:tcPr>
          <w:p w:rsidR="00000000" w:rsidRDefault="00773BF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489.735.666.TL.</w:t>
            </w:r>
          </w:p>
          <w:p w:rsidR="00000000" w:rsidRDefault="00773BF1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7" w:type="dxa"/>
          </w:tcPr>
          <w:p w:rsidR="00000000" w:rsidRDefault="00773BF1">
            <w:pPr>
              <w:ind w:right="68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100</w:t>
            </w:r>
          </w:p>
        </w:tc>
      </w:tr>
    </w:tbl>
    <w:p w:rsidR="00000000" w:rsidRDefault="00773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color w:val="000000"/>
          <w:sz w:val="16"/>
        </w:rPr>
      </w:pPr>
    </w:p>
    <w:p w:rsidR="00000000" w:rsidRDefault="00773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(*)Denizli Cam San. Ve Tic. A.Ş. istirak payı nominal değeridir. Kayıtlı değer ise 457.</w:t>
      </w:r>
      <w:r>
        <w:rPr>
          <w:rFonts w:ascii="Arial" w:hAnsi="Arial"/>
          <w:color w:val="000000"/>
          <w:sz w:val="16"/>
        </w:rPr>
        <w:t xml:space="preserve">087 MİLYON TL dir. </w:t>
      </w:r>
    </w:p>
    <w:p w:rsidR="00000000" w:rsidRDefault="00773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773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773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773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p w:rsidR="00000000" w:rsidRDefault="00773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rPr>
          <w:rFonts w:ascii="Arial" w:hAnsi="Arial"/>
          <w:sz w:val="16"/>
          <w:u w:val="single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3BF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19/Nisan/2001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73BF1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773BF1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capital, as of 19/April/2001,  are shown below.</w:t>
            </w:r>
          </w:p>
        </w:tc>
      </w:tr>
    </w:tbl>
    <w:p w:rsidR="00000000" w:rsidRDefault="00773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73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3BF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</w:t>
            </w:r>
            <w:r>
              <w:rPr>
                <w:rFonts w:ascii="Arial" w:hAnsi="Arial"/>
                <w:sz w:val="16"/>
              </w:rPr>
              <w:t xml:space="preserve">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773B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3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773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p w:rsidR="00000000" w:rsidRDefault="00773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95"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</w:t>
            </w:r>
            <w:r>
              <w:rPr>
                <w:rFonts w:ascii="Arial" w:hAnsi="Arial"/>
                <w:b/>
                <w:sz w:val="16"/>
              </w:rPr>
              <w:t>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1- 1- T.İŞ BANKASI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13.412.766.484.000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33,64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T.ŞİŞE VE CAM FAB.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20.021.863.773.000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50,22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</w:t>
            </w: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33.434.630.257.000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</w:t>
            </w:r>
            <w:r>
              <w:rPr>
                <w:rFonts w:ascii="Arial" w:hAnsi="Arial"/>
                <w:b/>
                <w:sz w:val="16"/>
              </w:rPr>
              <w:t xml:space="preserve">        </w:t>
            </w: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83,86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</w:tr>
    </w:tbl>
    <w:p w:rsidR="00000000" w:rsidRDefault="00773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773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773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773B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3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773BF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</w:t>
            </w:r>
            <w:r>
              <w:rPr>
                <w:rFonts w:ascii="Arial" w:hAnsi="Arial"/>
                <w:b/>
                <w:sz w:val="16"/>
              </w:rPr>
              <w:t xml:space="preserve">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773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73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773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773B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3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</w:t>
            </w:r>
            <w:r>
              <w:rPr>
                <w:rFonts w:ascii="Arial" w:hAnsi="Arial"/>
                <w:sz w:val="16"/>
              </w:rPr>
              <w:t xml:space="preserve"> who are working for the company as general manager, assistant general manager, director etc.</w:t>
            </w:r>
          </w:p>
        </w:tc>
      </w:tr>
    </w:tbl>
    <w:p w:rsidR="00000000" w:rsidRDefault="00773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773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73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773BF1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773B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3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773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773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73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73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3BF1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Birlikte, (A) Alt Başlığında Belirtilen Tüzel Kişi Ortaklar ile Aynı Holding, Gr</w:t>
            </w:r>
            <w:r>
              <w:rPr>
                <w:rFonts w:ascii="Arial" w:hAnsi="Arial"/>
                <w:sz w:val="16"/>
              </w:rPr>
              <w:t xml:space="preserve">up Yada Topluluk Bünyesinde Bulunan Tüzel Kişi Ortaklar </w:t>
            </w:r>
          </w:p>
        </w:tc>
        <w:tc>
          <w:tcPr>
            <w:tcW w:w="1134" w:type="dxa"/>
          </w:tcPr>
          <w:p w:rsidR="00000000" w:rsidRDefault="00773B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3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773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ANADOLU HAYAT SİGORTA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5.301.882.000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2-ANADOLU ANONİM TÜRK SİG. ŞİRK.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3.866.185.000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3-TRAKYA CAM SAN.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19.055.490.000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4-CAMİŞ </w:t>
            </w:r>
            <w:r>
              <w:rPr>
                <w:rFonts w:ascii="Arial" w:hAnsi="Arial"/>
                <w:sz w:val="16"/>
              </w:rPr>
              <w:t>MADENCİLİK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15.223.494.000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5-CAMSAR SAN. ARA MAL. PAZ.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284.561.861.000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6-CAM PAZARLAMA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106.132.595.000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434.141.507.000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1,09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</w:tr>
    </w:tbl>
    <w:p w:rsidR="00000000" w:rsidRDefault="00773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73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3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773B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3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773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73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(Belirlenemiyor İse Tahmini</w:t>
            </w:r>
          </w:p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DİĞER(HALKA AÇIK KISI</w:t>
            </w:r>
            <w:r>
              <w:rPr>
                <w:rFonts w:ascii="Arial" w:hAnsi="Arial"/>
                <w:sz w:val="16"/>
              </w:rPr>
              <w:t>M)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6.002.228.236.000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6.002.228.236.000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15,05</w:t>
            </w:r>
          </w:p>
        </w:tc>
      </w:tr>
    </w:tbl>
    <w:p w:rsidR="00000000" w:rsidRDefault="00773BF1">
      <w:pPr>
        <w:ind w:right="-1231"/>
        <w:rPr>
          <w:rFonts w:ascii="Arial" w:hAnsi="Arial"/>
          <w:sz w:val="16"/>
        </w:rPr>
      </w:pPr>
    </w:p>
    <w:p w:rsidR="00000000" w:rsidRDefault="00773BF1">
      <w:pPr>
        <w:ind w:right="-1231"/>
        <w:rPr>
          <w:rFonts w:ascii="Arial" w:hAnsi="Arial"/>
          <w:sz w:val="16"/>
        </w:rPr>
      </w:pPr>
    </w:p>
    <w:p w:rsidR="00000000" w:rsidRDefault="00773BF1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73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773BF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73BF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773BF1">
      <w:pPr>
        <w:ind w:right="-1231"/>
        <w:rPr>
          <w:rFonts w:ascii="Arial" w:hAnsi="Arial"/>
          <w:sz w:val="16"/>
        </w:rPr>
      </w:pPr>
    </w:p>
    <w:p w:rsidR="00000000" w:rsidRDefault="00773BF1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</w:p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39.871.000.000.000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73BF1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  <w:r>
              <w:rPr>
                <w:rFonts w:ascii="Arial" w:hAnsi="Arial"/>
                <w:b/>
                <w:sz w:val="16"/>
              </w:rPr>
              <w:t>,00</w:t>
            </w:r>
          </w:p>
        </w:tc>
      </w:tr>
    </w:tbl>
    <w:p w:rsidR="00000000" w:rsidRDefault="00773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73BF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773BF1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both"/>
        <w:rPr>
          <w:rFonts w:ascii="Arial" w:hAnsi="Arial"/>
          <w:sz w:val="16"/>
        </w:rPr>
      </w:pPr>
      <w:r>
        <w:rPr>
          <w:rFonts w:ascii="Arial" w:hAnsi="Arial"/>
          <w:b/>
          <w:sz w:val="16"/>
          <w:u w:val="single"/>
        </w:rPr>
        <w:t xml:space="preserve">NOT: </w:t>
      </w:r>
      <w:r>
        <w:rPr>
          <w:rFonts w:ascii="Arial" w:hAnsi="Arial"/>
          <w:sz w:val="16"/>
        </w:rPr>
        <w:t>Esas Sermaye Sistemi’ne tabi olan Soda Sanayii A.Ş. 27.04.2001 tarihinde yapacağı olağan genel kurulunda S.P.K. ve  Tic. ve San. Bakanlığı’nın  verdiği izinler  doğrultusunda  Kayıtlı Sermaye Sistemi’ne geçişini (Kayıtlı Sermaye Tavanı:100.000.</w:t>
      </w:r>
      <w:r>
        <w:rPr>
          <w:rFonts w:ascii="Arial" w:hAnsi="Arial"/>
          <w:sz w:val="16"/>
        </w:rPr>
        <w:t>000.000.000-TL) gündem maddesi olarak görüşecektir.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5152F"/>
    <w:multiLevelType w:val="hybridMultilevel"/>
    <w:tmpl w:val="D3F264E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06266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3BF1"/>
    <w:rsid w:val="0077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1AD6B46-7E06-40F1-A6BF-38D2AB145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1369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2001-04-19T17:35:00Z</cp:lastPrinted>
  <dcterms:created xsi:type="dcterms:W3CDTF">2022-09-01T21:59:00Z</dcterms:created>
  <dcterms:modified xsi:type="dcterms:W3CDTF">2022-09-01T21:59:00Z</dcterms:modified>
</cp:coreProperties>
</file>