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ALFA MENKUL DEĞERLER A.Ş.</w:t>
            </w:r>
          </w:p>
        </w:tc>
      </w:tr>
    </w:tbl>
    <w:p w:rsidR="00000000" w:rsidRDefault="00352A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08/01/1991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ŞİRKET, ALIM SATIM ARACILIĞI, MENKUL KIYMET AÇIĞA SATIŞ VE MENKUL KIYMETLERİN ÖDÜNÇ ALMA VE VERME İŞLEMLERİ İZİN BELGESİ, PORTFÖY YÖNETİCİLİĞİ, YATIRIM D</w:t>
            </w:r>
            <w:r>
              <w:rPr>
                <w:rFonts w:ascii="Arial" w:hAnsi="Arial"/>
                <w:color w:val="000000"/>
                <w:sz w:val="16"/>
              </w:rPr>
              <w:t>ANIŞMANLIĞI, REPO VE TERS REPO TAAHHÜDÜ İLE ALIM SATIM VE HALKA ARZA ARACILIK YETKİ BELGELERİNE SAHİPTİR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ASIM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SELAHATTİN </w:t>
            </w:r>
            <w:r>
              <w:rPr>
                <w:rFonts w:ascii="Arial" w:hAnsi="Arial"/>
                <w:color w:val="000000"/>
                <w:sz w:val="16"/>
              </w:rPr>
              <w:t>SERBEST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BOZDAĞ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BASİL MEHDİ AL-RAHİM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ASIM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DİLARA ŞENCAN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 DİĞDEM DİKKAYA KOLOĞLU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282 18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282 18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</w:t>
            </w:r>
            <w:r>
              <w:rPr>
                <w:rFonts w:ascii="Arial" w:hAnsi="Arial"/>
                <w:b/>
                <w:color w:val="000000"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pStyle w:val="Heading1"/>
            </w:pPr>
            <w:r>
              <w:t>5,100,470,000,000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</w:t>
            </w:r>
            <w:r>
              <w:rPr>
                <w:rFonts w:ascii="Arial" w:hAnsi="Arial"/>
                <w:color w:val="000000"/>
                <w:sz w:val="16"/>
              </w:rPr>
              <w:t>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52A8D">
      <w:pPr>
        <w:pStyle w:val="BodyText"/>
        <w:rPr>
          <w:sz w:val="16"/>
        </w:rPr>
      </w:pPr>
    </w:p>
    <w:p w:rsidR="00000000" w:rsidRDefault="00352A8D">
      <w:pPr>
        <w:pStyle w:val="BodyText"/>
        <w:rPr>
          <w:sz w:val="16"/>
        </w:rPr>
      </w:pPr>
    </w:p>
    <w:p w:rsidR="00000000" w:rsidRDefault="00352A8D">
      <w:pPr>
        <w:pStyle w:val="BodyText"/>
        <w:rPr>
          <w:sz w:val="16"/>
        </w:rPr>
      </w:pPr>
    </w:p>
    <w:p w:rsidR="00000000" w:rsidRDefault="00352A8D">
      <w:pPr>
        <w:pStyle w:val="BodyText"/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A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352A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A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 the last two years are shown below.</w:t>
            </w:r>
          </w:p>
        </w:tc>
      </w:tr>
    </w:tbl>
    <w:p w:rsidR="00000000" w:rsidRDefault="00352A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008"/>
        <w:gridCol w:w="10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Milyon TL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  <w:t>(TL Million</w:t>
            </w: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)</w:t>
            </w:r>
          </w:p>
        </w:tc>
        <w:tc>
          <w:tcPr>
            <w:tcW w:w="1008" w:type="dxa"/>
          </w:tcPr>
          <w:p w:rsidR="00000000" w:rsidRDefault="00352A8D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2001</w:t>
            </w:r>
          </w:p>
        </w:tc>
        <w:tc>
          <w:tcPr>
            <w:tcW w:w="1008" w:type="dxa"/>
          </w:tcPr>
          <w:p w:rsidR="00000000" w:rsidRDefault="00352A8D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 xml:space="preserve">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Hisse Senetler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>i</w:t>
            </w:r>
          </w:p>
          <w:p w:rsidR="00000000" w:rsidRDefault="00352A8D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(Equities)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            </w:t>
            </w:r>
          </w:p>
        </w:tc>
        <w:tc>
          <w:tcPr>
            <w:tcW w:w="1008" w:type="dxa"/>
          </w:tcPr>
          <w:p w:rsidR="00000000" w:rsidRDefault="00352A8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31,581</w:t>
            </w:r>
          </w:p>
        </w:tc>
        <w:tc>
          <w:tcPr>
            <w:tcW w:w="1008" w:type="dxa"/>
          </w:tcPr>
          <w:p w:rsidR="00000000" w:rsidRDefault="00352A8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88,995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Özel Sektör Tahvil ve Bonoları</w:t>
            </w:r>
          </w:p>
          <w:p w:rsidR="00000000" w:rsidRDefault="00352A8D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(Private Sector Bonds Notes &amp; Bills)</w:t>
            </w:r>
          </w:p>
        </w:tc>
        <w:tc>
          <w:tcPr>
            <w:tcW w:w="10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Kamu Kesimi Tahvil ve Bonoları</w:t>
            </w:r>
          </w:p>
          <w:p w:rsidR="00000000" w:rsidRDefault="00352A8D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</w:t>
            </w:r>
          </w:p>
        </w:tc>
        <w:tc>
          <w:tcPr>
            <w:tcW w:w="1008" w:type="dxa"/>
          </w:tcPr>
          <w:p w:rsidR="00000000" w:rsidRDefault="00352A8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1,399,845</w:t>
            </w:r>
          </w:p>
        </w:tc>
        <w:tc>
          <w:tcPr>
            <w:tcW w:w="1008" w:type="dxa"/>
          </w:tcPr>
          <w:p w:rsidR="00000000" w:rsidRDefault="00352A8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1,288,310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Diðer M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enkul Kıymetler </w:t>
            </w:r>
          </w:p>
          <w:p w:rsidR="00000000" w:rsidRDefault="00352A8D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0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Toplam Menkul Kıymetler</w:t>
            </w:r>
          </w:p>
          <w:p w:rsidR="00000000" w:rsidRDefault="00352A8D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</w:t>
            </w:r>
          </w:p>
        </w:tc>
        <w:tc>
          <w:tcPr>
            <w:tcW w:w="1008" w:type="dxa"/>
          </w:tcPr>
          <w:p w:rsidR="00000000" w:rsidRDefault="00352A8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1,431,426</w:t>
            </w:r>
          </w:p>
        </w:tc>
        <w:tc>
          <w:tcPr>
            <w:tcW w:w="1008" w:type="dxa"/>
          </w:tcPr>
          <w:p w:rsidR="00000000" w:rsidRDefault="00352A8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1,377,305</w:t>
            </w:r>
          </w:p>
        </w:tc>
      </w:tr>
    </w:tbl>
    <w:p w:rsidR="00000000" w:rsidRDefault="00352A8D">
      <w:pPr>
        <w:rPr>
          <w:rFonts w:ascii="Arial" w:hAnsi="Arial"/>
          <w:sz w:val="16"/>
        </w:rPr>
      </w:pPr>
    </w:p>
    <w:p w:rsidR="00000000" w:rsidRDefault="00352A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A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352A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A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52A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A.Ş.</w:t>
            </w:r>
          </w:p>
        </w:tc>
        <w:tc>
          <w:tcPr>
            <w:tcW w:w="2299" w:type="dxa"/>
          </w:tcPr>
          <w:p w:rsidR="00000000" w:rsidRDefault="00352A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22,300,000 MTL</w:t>
            </w:r>
          </w:p>
        </w:tc>
        <w:tc>
          <w:tcPr>
            <w:tcW w:w="2342" w:type="dxa"/>
          </w:tcPr>
          <w:p w:rsidR="00000000" w:rsidRDefault="00352A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</w:tbl>
    <w:p w:rsidR="00000000" w:rsidRDefault="00352A8D">
      <w:pPr>
        <w:rPr>
          <w:rFonts w:ascii="Arial" w:hAnsi="Arial"/>
          <w:color w:val="FF0000"/>
          <w:sz w:val="16"/>
        </w:rPr>
      </w:pPr>
    </w:p>
    <w:p w:rsidR="00000000" w:rsidRDefault="00352A8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A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52A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A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52A8D">
      <w:pPr>
        <w:rPr>
          <w:rFonts w:ascii="Arial" w:hAnsi="Arial"/>
          <w:sz w:val="16"/>
        </w:rPr>
      </w:pPr>
    </w:p>
    <w:p w:rsidR="00000000" w:rsidRDefault="00352A8D">
      <w:pPr>
        <w:jc w:val="both"/>
        <w:rPr>
          <w:rFonts w:ascii="Arial" w:hAnsi="Arial"/>
          <w:sz w:val="16"/>
        </w:rPr>
      </w:pPr>
    </w:p>
    <w:p w:rsidR="00000000" w:rsidRDefault="00352A8D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Ortaklık sermayesinin veya toplam oy haklarının en az %10’una sahip gerçek ve tüzel kişi o</w:t>
      </w:r>
      <w:r>
        <w:rPr>
          <w:rFonts w:ascii="Arial" w:hAnsi="Arial"/>
          <w:sz w:val="16"/>
        </w:rPr>
        <w:t>rtaklar</w:t>
      </w: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CINGILLI HOLDİNG A.Ş.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2,011,978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FACTORING A.Ş.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1,368,066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26.82</w:t>
            </w:r>
          </w:p>
        </w:tc>
      </w:tr>
    </w:tbl>
    <w:p w:rsidR="00000000" w:rsidRDefault="00352A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2A8D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</w:t>
      </w:r>
      <w:r>
        <w:rPr>
          <w:rFonts w:ascii="Arial" w:hAnsi="Arial"/>
          <w:sz w:val="16"/>
        </w:rPr>
        <w:t xml:space="preserve">ler (ayrı ayrı), </w:t>
      </w: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BOZDAĞ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</w:tbl>
    <w:p w:rsidR="00000000" w:rsidRDefault="00352A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r>
        <w:rPr>
          <w:rFonts w:ascii="Arial" w:hAnsi="Arial"/>
          <w:sz w:val="16"/>
        </w:rPr>
        <w:t>ünvanlara sahip yöneticileri (ayrı ayrı),</w:t>
      </w: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ASIM KARADENİZ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102,053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</w:tbl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</w:t>
      </w:r>
      <w:r>
        <w:rPr>
          <w:rFonts w:ascii="Arial" w:hAnsi="Arial"/>
          <w:sz w:val="16"/>
        </w:rPr>
        <w:t>i dereceden akrabalık ilişkisi bulunan pay sahibi</w:t>
      </w: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</w:t>
      </w:r>
      <w:r>
        <w:rPr>
          <w:rFonts w:ascii="Arial" w:hAnsi="Arial"/>
          <w:sz w:val="16"/>
        </w:rPr>
        <w:t xml:space="preserve">kla birlikte, (A) alt başlığında belirtilen </w:t>
      </w: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946,390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SAFRON AMD PARTNERS LP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494,292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CINGILLIOĞLU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68,844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CINGILLIOĞLU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66,998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CINGILLIOĞLU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41,849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AYANLAR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FAHRİ BATUR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ARİFİ BİLGEN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</w:tbl>
    <w:p w:rsidR="00000000" w:rsidRDefault="00352A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2A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352A8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352A8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2A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5,100,470</w:t>
            </w:r>
          </w:p>
        </w:tc>
        <w:tc>
          <w:tcPr>
            <w:tcW w:w="2410" w:type="dxa"/>
          </w:tcPr>
          <w:p w:rsidR="00000000" w:rsidRDefault="00352A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352A8D">
      <w:pPr>
        <w:jc w:val="both"/>
        <w:rPr>
          <w:rFonts w:ascii="Arial" w:hAnsi="Arial"/>
          <w:sz w:val="16"/>
        </w:rPr>
      </w:pPr>
    </w:p>
    <w:p w:rsidR="00000000" w:rsidRDefault="00352A8D">
      <w:pPr>
        <w:jc w:val="both"/>
        <w:rPr>
          <w:rFonts w:ascii="Arial" w:hAnsi="Arial"/>
          <w:sz w:val="16"/>
        </w:rPr>
      </w:pPr>
    </w:p>
    <w:p w:rsidR="00000000" w:rsidRDefault="00352A8D">
      <w:pPr>
        <w:jc w:val="both"/>
        <w:rPr>
          <w:rFonts w:ascii="Arial" w:hAnsi="Arial"/>
          <w:sz w:val="16"/>
        </w:rPr>
      </w:pPr>
    </w:p>
    <w:p w:rsidR="00000000" w:rsidRDefault="00352A8D">
      <w:pPr>
        <w:jc w:val="both"/>
        <w:rPr>
          <w:rFonts w:ascii="Arial" w:hAnsi="Arial"/>
          <w:sz w:val="16"/>
        </w:rPr>
      </w:pPr>
    </w:p>
    <w:p w:rsidR="00000000" w:rsidRDefault="00352A8D">
      <w:pPr>
        <w:jc w:val="both"/>
        <w:rPr>
          <w:rFonts w:ascii="Arial" w:hAnsi="Arial"/>
          <w:sz w:val="16"/>
        </w:rPr>
      </w:pPr>
    </w:p>
    <w:p w:rsidR="00000000" w:rsidRDefault="00352A8D">
      <w:pPr>
        <w:jc w:val="both"/>
        <w:rPr>
          <w:rFonts w:ascii="Arial" w:hAnsi="Arial"/>
          <w:sz w:val="16"/>
        </w:rPr>
      </w:pPr>
    </w:p>
    <w:p w:rsidR="00000000" w:rsidRDefault="00352A8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D5C"/>
    <w:multiLevelType w:val="singleLevel"/>
    <w:tmpl w:val="575AA3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681203B"/>
    <w:multiLevelType w:val="singleLevel"/>
    <w:tmpl w:val="6956748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53208700">
    <w:abstractNumId w:val="0"/>
  </w:num>
  <w:num w:numId="2" w16cid:durableId="76257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A8D"/>
    <w:rsid w:val="0035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0DCB9-0A47-47D4-9208-50D6E030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2002-04-03T16:07:00Z</cp:lastPrinted>
  <dcterms:created xsi:type="dcterms:W3CDTF">2022-09-01T22:00:00Z</dcterms:created>
  <dcterms:modified xsi:type="dcterms:W3CDTF">2022-09-01T22:00:00Z</dcterms:modified>
</cp:coreProperties>
</file>