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ÇELEBİ HAVA SERVİSİ A.Ş.</w:t>
            </w:r>
          </w:p>
        </w:tc>
      </w:tr>
    </w:tbl>
    <w:p w:rsidR="00000000" w:rsidRDefault="003E20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04.01.1983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YERLİ VE YABANCI HAVAYOLLARINA VERİLEN YER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(Ground Handling Services To Domestic And Foreign Airlines)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</w:t>
            </w:r>
            <w:r>
              <w:rPr>
                <w:rFonts w:ascii="Arial" w:hAnsi="Arial"/>
                <w:color w:val="000000"/>
                <w:sz w:val="16"/>
              </w:rPr>
              <w:t>AVALİMANI 34830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ÖNDER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ÇELEBİOĞLU TOKGÖZ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</w:t>
            </w:r>
            <w:r>
              <w:rPr>
                <w:rFonts w:ascii="Arial" w:hAnsi="Arial"/>
                <w:color w:val="000000"/>
                <w:sz w:val="16"/>
              </w:rPr>
              <w:t>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YERGÖK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ÖNDER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663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663 87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</w:t>
            </w:r>
            <w:r>
              <w:rPr>
                <w:rFonts w:ascii="Arial" w:hAnsi="Arial"/>
                <w:b/>
                <w:color w:val="000000"/>
                <w:sz w:val="16"/>
              </w:rPr>
              <w:t>zed Capital)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GENEL BİLGİLER</w:t>
            </w:r>
          </w:p>
        </w:tc>
        <w:tc>
          <w:tcPr>
            <w:tcW w:w="1134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GENERAL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Çelebi Hava Servisi A.Ş. Avrupa’nın ikinci büyük,Türkiye’nin ilk ve tek bağı</w:t>
            </w:r>
            <w:r>
              <w:rPr>
                <w:rFonts w:ascii="Arial" w:hAnsi="Arial"/>
                <w:sz w:val="16"/>
              </w:rPr>
              <w:t>msız yer hizmetleri şirketidir.Yer hizmetleri uçağın park pozisyonuna yanaştırılmasını, bilet,bagaj,kargo işlemlerini, uçağın temizliğini,uçağa hava ve elektrik gücü verilmesini,gıda malzemesi yüklenmesini,uçağa yolcu kabülünü,uçağın en hassas şekilde yapı</w:t>
            </w:r>
            <w:r>
              <w:rPr>
                <w:rFonts w:ascii="Arial" w:hAnsi="Arial"/>
                <w:sz w:val="16"/>
              </w:rPr>
              <w:t>lan iniş kalkış hesaplarını kapsar.Yer hizmetlerinin yanında Çelebi uçakların yakıt taleplerini,anlaşması olduğu yerli yakıt dağıtıcısı Petrol Ofisi’nden sağlamaktadır.2001 yılında Çelebi Türkiye’nin sekiz ana havaalanında (İstanbul Atatürk, Ankara Esenboğ</w:t>
            </w:r>
            <w:r>
              <w:rPr>
                <w:rFonts w:ascii="Arial" w:hAnsi="Arial"/>
                <w:sz w:val="16"/>
              </w:rPr>
              <w:t>a,İzmir Adnan Menderes, Adana Şakirpaşa, Antalya,Dalaman,Bodrum ve Çorlu) yer hizmetleri sağlamıştır.</w:t>
            </w:r>
          </w:p>
        </w:tc>
        <w:tc>
          <w:tcPr>
            <w:tcW w:w="1134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Çelebi Ground Handling Co. İs not only Europe’s second largest but also Turkey’s the first independent Ground Handling Company. Ground handling service i</w:t>
            </w:r>
            <w:r>
              <w:rPr>
                <w:rFonts w:ascii="Arial" w:hAnsi="Arial"/>
                <w:sz w:val="16"/>
              </w:rPr>
              <w:t>ncludes ramp,cargo,and mail handling,air and electricity loading,towing , de-icing,aircraft cleaning, catering loading,passenger traffic control and transportation. In addition to ground handling, Çelebi also meets airlines jet fuel demand via an agreement</w:t>
            </w:r>
            <w:r>
              <w:rPr>
                <w:rFonts w:ascii="Arial" w:hAnsi="Arial"/>
                <w:sz w:val="16"/>
              </w:rPr>
              <w:t xml:space="preserve"> with a domestic oil distributor, Petrol Ofisi. In 2001 Çelebi provided group handling services at eight main airports (</w:t>
            </w:r>
            <w:r>
              <w:rPr>
                <w:rFonts w:ascii="Arial" w:hAnsi="Arial"/>
                <w:sz w:val="16"/>
              </w:rPr>
              <w:t>İstanbul Atatürk, Ankara Esenboğa, İzmir Adnan Menderes, Adana Şakirpaşa, Antalya,Dalaman, Bodrum ve Çorlu) of Turkey.</w:t>
            </w:r>
          </w:p>
        </w:tc>
      </w:tr>
    </w:tbl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pazar bilgileri aşağıda gösterilmiştir.</w:t>
            </w:r>
          </w:p>
        </w:tc>
        <w:tc>
          <w:tcPr>
            <w:tcW w:w="1134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market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3E20C5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31"/>
        <w:gridCol w:w="3280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3E20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80" w:type="dxa"/>
          </w:tcPr>
          <w:p w:rsidR="00000000" w:rsidRDefault="003E20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Uçak Sayısı (Adet)</w:t>
            </w:r>
          </w:p>
        </w:tc>
        <w:tc>
          <w:tcPr>
            <w:tcW w:w="4111" w:type="dxa"/>
          </w:tcPr>
          <w:p w:rsidR="00000000" w:rsidRDefault="003E20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Havayolu Şirketi Sayısı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80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Plane (Unit)</w:t>
            </w:r>
          </w:p>
        </w:tc>
        <w:tc>
          <w:tcPr>
            <w:tcW w:w="4111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Airway Company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3E20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280" w:type="dxa"/>
          </w:tcPr>
          <w:p w:rsidR="00000000" w:rsidRDefault="003E20C5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31329</w:t>
            </w:r>
          </w:p>
        </w:tc>
        <w:tc>
          <w:tcPr>
            <w:tcW w:w="4111" w:type="dxa"/>
          </w:tcPr>
          <w:p w:rsidR="00000000" w:rsidRDefault="003E20C5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3E20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280" w:type="dxa"/>
          </w:tcPr>
          <w:p w:rsidR="00000000" w:rsidRDefault="003E20C5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41004</w:t>
            </w:r>
          </w:p>
        </w:tc>
        <w:tc>
          <w:tcPr>
            <w:tcW w:w="4111" w:type="dxa"/>
          </w:tcPr>
          <w:p w:rsidR="00000000" w:rsidRDefault="003E20C5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</w:t>
            </w:r>
          </w:p>
        </w:tc>
      </w:tr>
    </w:tbl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</w:t>
            </w:r>
            <w:r>
              <w:rPr>
                <w:rFonts w:ascii="Arial" w:hAnsi="Arial"/>
                <w:sz w:val="16"/>
              </w:rPr>
              <w:t>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E20C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($)</w:t>
            </w:r>
          </w:p>
        </w:tc>
        <w:tc>
          <w:tcPr>
            <w:tcW w:w="2410" w:type="dxa"/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($)</w:t>
            </w:r>
          </w:p>
        </w:tc>
        <w:tc>
          <w:tcPr>
            <w:tcW w:w="2269" w:type="dxa"/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$) </w:t>
            </w:r>
          </w:p>
        </w:tc>
        <w:tc>
          <w:tcPr>
            <w:tcW w:w="2410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20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230.768.-</w:t>
            </w:r>
          </w:p>
        </w:tc>
        <w:tc>
          <w:tcPr>
            <w:tcW w:w="2410" w:type="dxa"/>
          </w:tcPr>
          <w:p w:rsidR="00000000" w:rsidRDefault="003E20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E20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80.144.658.-</w:t>
            </w:r>
          </w:p>
        </w:tc>
        <w:tc>
          <w:tcPr>
            <w:tcW w:w="2269" w:type="dxa"/>
          </w:tcPr>
          <w:p w:rsidR="00000000" w:rsidRDefault="003E20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20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578.113.-</w:t>
            </w:r>
          </w:p>
        </w:tc>
        <w:tc>
          <w:tcPr>
            <w:tcW w:w="2410" w:type="dxa"/>
          </w:tcPr>
          <w:p w:rsidR="00000000" w:rsidRDefault="003E20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E20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92.181.209.-</w:t>
            </w:r>
          </w:p>
        </w:tc>
        <w:tc>
          <w:tcPr>
            <w:tcW w:w="2269" w:type="dxa"/>
          </w:tcPr>
          <w:p w:rsidR="00000000" w:rsidRDefault="003E20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98.04</w:t>
            </w:r>
          </w:p>
        </w:tc>
      </w:tr>
    </w:tbl>
    <w:p w:rsidR="00000000" w:rsidRDefault="003E20C5">
      <w:pPr>
        <w:rPr>
          <w:rFonts w:ascii="Arial" w:hAnsi="Arial"/>
          <w:b/>
          <w:sz w:val="16"/>
          <w:u w:val="single"/>
        </w:rPr>
      </w:pPr>
    </w:p>
    <w:p w:rsidR="00000000" w:rsidRDefault="003E20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E20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E20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</w:t>
            </w:r>
            <w:r>
              <w:rPr>
                <w:rFonts w:ascii="Arial" w:hAnsi="Arial"/>
                <w:i/>
                <w:sz w:val="16"/>
              </w:rPr>
              <w:t>rojects of the Company are given below.</w:t>
            </w:r>
          </w:p>
        </w:tc>
      </w:tr>
    </w:tbl>
    <w:p w:rsidR="00000000" w:rsidRDefault="003E20C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551"/>
        <w:gridCol w:w="170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20C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6" w:type="dxa"/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1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6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20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51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6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  <w:tc>
          <w:tcPr>
            <w:tcW w:w="1843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İST</w:t>
            </w:r>
            <w:r>
              <w:rPr>
                <w:rFonts w:ascii="Arial" w:hAnsi="Arial"/>
                <w:sz w:val="16"/>
              </w:rPr>
              <w:t>ASYONLARDAKİ İNŞAAT VE REVİZYONLAR</w:t>
            </w:r>
          </w:p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(Construction,Reconsideration In All Branch)</w:t>
            </w:r>
          </w:p>
        </w:tc>
        <w:tc>
          <w:tcPr>
            <w:tcW w:w="2551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01/01/2002 – 30/09/2002</w:t>
            </w:r>
          </w:p>
        </w:tc>
        <w:tc>
          <w:tcPr>
            <w:tcW w:w="1706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1.674.418.-</w:t>
            </w:r>
          </w:p>
        </w:tc>
        <w:tc>
          <w:tcPr>
            <w:tcW w:w="1843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APRON EKİPMAN VE ARAÇLARI</w:t>
            </w:r>
          </w:p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(Apron Equipment And Vehicles)</w:t>
            </w:r>
          </w:p>
        </w:tc>
        <w:tc>
          <w:tcPr>
            <w:tcW w:w="2551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01/04/2002 – 31/08/2002</w:t>
            </w:r>
          </w:p>
        </w:tc>
        <w:tc>
          <w:tcPr>
            <w:tcW w:w="1706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550.500.-</w:t>
            </w:r>
          </w:p>
        </w:tc>
        <w:tc>
          <w:tcPr>
            <w:tcW w:w="1843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DÖŞEME DEMİRBAŞLAR</w:t>
            </w:r>
          </w:p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(Office Stock And Fu</w:t>
            </w:r>
            <w:r>
              <w:rPr>
                <w:rFonts w:ascii="Arial" w:hAnsi="Arial"/>
                <w:sz w:val="16"/>
              </w:rPr>
              <w:t>rniture</w:t>
            </w:r>
          </w:p>
        </w:tc>
        <w:tc>
          <w:tcPr>
            <w:tcW w:w="2551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01/02/2002 – 31/08/2002</w:t>
            </w:r>
          </w:p>
        </w:tc>
        <w:tc>
          <w:tcPr>
            <w:tcW w:w="1706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125.162.-</w:t>
            </w:r>
          </w:p>
        </w:tc>
        <w:tc>
          <w:tcPr>
            <w:tcW w:w="1843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 YATIRIMI</w:t>
            </w:r>
          </w:p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 Investment)</w:t>
            </w:r>
          </w:p>
        </w:tc>
        <w:tc>
          <w:tcPr>
            <w:tcW w:w="2551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01/04/2002 – 30/04/2002</w:t>
            </w:r>
          </w:p>
        </w:tc>
        <w:tc>
          <w:tcPr>
            <w:tcW w:w="1706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2.400.-</w:t>
            </w:r>
          </w:p>
        </w:tc>
        <w:tc>
          <w:tcPr>
            <w:tcW w:w="1843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YAZILIM YATIRIMI</w:t>
            </w:r>
          </w:p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(Software Investment)</w:t>
            </w:r>
          </w:p>
        </w:tc>
        <w:tc>
          <w:tcPr>
            <w:tcW w:w="2551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01/03/2002 – 30/11/2002</w:t>
            </w:r>
          </w:p>
        </w:tc>
        <w:tc>
          <w:tcPr>
            <w:tcW w:w="1706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475.142.-</w:t>
            </w:r>
          </w:p>
        </w:tc>
        <w:tc>
          <w:tcPr>
            <w:tcW w:w="1843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DONANIM YATIRIM</w:t>
            </w:r>
          </w:p>
          <w:p w:rsidR="00000000" w:rsidRDefault="003E20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(Rigging Investment)</w:t>
            </w:r>
          </w:p>
        </w:tc>
        <w:tc>
          <w:tcPr>
            <w:tcW w:w="2551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01/03/2002 – 31/07/2002</w:t>
            </w:r>
          </w:p>
        </w:tc>
        <w:tc>
          <w:tcPr>
            <w:tcW w:w="1706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268.</w:t>
            </w:r>
            <w:r>
              <w:rPr>
                <w:rFonts w:ascii="Arial" w:hAnsi="Arial"/>
                <w:sz w:val="16"/>
              </w:rPr>
              <w:t>366.-</w:t>
            </w:r>
          </w:p>
        </w:tc>
        <w:tc>
          <w:tcPr>
            <w:tcW w:w="1843" w:type="dxa"/>
          </w:tcPr>
          <w:p w:rsidR="00000000" w:rsidRDefault="003E20C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E20C5">
      <w:pPr>
        <w:rPr>
          <w:rFonts w:ascii="Arial" w:hAnsi="Arial"/>
          <w:sz w:val="16"/>
        </w:rPr>
      </w:pPr>
    </w:p>
    <w:p w:rsidR="00000000" w:rsidRDefault="003E20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E20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20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42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GÜVENLİK SİSTEMLERİ VE</w:t>
            </w:r>
          </w:p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DANIŞMANLIK A.Ş.</w:t>
            </w:r>
          </w:p>
        </w:tc>
        <w:tc>
          <w:tcPr>
            <w:tcW w:w="2304" w:type="dxa"/>
          </w:tcPr>
          <w:p w:rsidR="00000000" w:rsidRDefault="003E20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208.550.000.000.-TL</w:t>
            </w:r>
          </w:p>
        </w:tc>
        <w:tc>
          <w:tcPr>
            <w:tcW w:w="2342" w:type="dxa"/>
          </w:tcPr>
          <w:p w:rsidR="00000000" w:rsidRDefault="003E20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94,80</w:t>
            </w:r>
          </w:p>
        </w:tc>
      </w:tr>
    </w:tbl>
    <w:p w:rsidR="00000000" w:rsidRDefault="003E20C5">
      <w:pPr>
        <w:rPr>
          <w:rFonts w:ascii="Arial" w:hAnsi="Arial"/>
          <w:color w:val="FF0000"/>
          <w:sz w:val="16"/>
        </w:rPr>
      </w:pPr>
    </w:p>
    <w:p w:rsidR="00000000" w:rsidRDefault="003E20C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31/12/2001 tarihi itibariyle başlıca </w:t>
            </w:r>
          </w:p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 ve sermaye payları aşağıda </w:t>
            </w:r>
          </w:p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3E20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20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capital, as of 31/12/2001,  are shown below.</w:t>
            </w:r>
          </w:p>
        </w:tc>
      </w:tr>
    </w:tbl>
    <w:p w:rsidR="00000000" w:rsidRDefault="003E20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20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E20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20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E20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HOLDİNG A.Ş.</w:t>
            </w:r>
          </w:p>
        </w:tc>
        <w:tc>
          <w:tcPr>
            <w:tcW w:w="1908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2.355.750.-</w:t>
            </w:r>
          </w:p>
        </w:tc>
        <w:tc>
          <w:tcPr>
            <w:tcW w:w="2410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ÇELEBİOĞLU</w:t>
            </w:r>
          </w:p>
        </w:tc>
        <w:tc>
          <w:tcPr>
            <w:tcW w:w="1908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470.400.-</w:t>
            </w:r>
          </w:p>
        </w:tc>
        <w:tc>
          <w:tcPr>
            <w:tcW w:w="2410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</w:t>
            </w:r>
            <w:r>
              <w:rPr>
                <w:rFonts w:ascii="Arial" w:hAnsi="Arial"/>
                <w:color w:val="000000"/>
                <w:sz w:val="16"/>
              </w:rPr>
              <w:t>EBİOĞLU TOKGÖZ</w:t>
            </w:r>
          </w:p>
        </w:tc>
        <w:tc>
          <w:tcPr>
            <w:tcW w:w="1908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470.400.-</w:t>
            </w:r>
          </w:p>
        </w:tc>
        <w:tc>
          <w:tcPr>
            <w:tcW w:w="2410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ÇELEBİOĞLU</w:t>
            </w:r>
          </w:p>
        </w:tc>
        <w:tc>
          <w:tcPr>
            <w:tcW w:w="1908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450.450.-</w:t>
            </w:r>
          </w:p>
        </w:tc>
        <w:tc>
          <w:tcPr>
            <w:tcW w:w="2410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KAMU ORTAKLIĞI </w:t>
            </w:r>
          </w:p>
        </w:tc>
        <w:tc>
          <w:tcPr>
            <w:tcW w:w="1908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712.500.-</w:t>
            </w:r>
          </w:p>
        </w:tc>
        <w:tc>
          <w:tcPr>
            <w:tcW w:w="2410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20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40.500.-</w:t>
            </w:r>
          </w:p>
        </w:tc>
        <w:tc>
          <w:tcPr>
            <w:tcW w:w="2410" w:type="dxa"/>
          </w:tcPr>
          <w:p w:rsidR="00000000" w:rsidRDefault="003E20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0,91</w:t>
            </w:r>
          </w:p>
        </w:tc>
      </w:tr>
    </w:tbl>
    <w:p w:rsidR="00000000" w:rsidRDefault="003E20C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0C5"/>
    <w:rsid w:val="003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0C253-B5C8-4103-8E9E-ABD6CC49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2002-04-08T16:19:00Z</cp:lastPrinted>
  <dcterms:created xsi:type="dcterms:W3CDTF">2022-09-01T22:00:00Z</dcterms:created>
  <dcterms:modified xsi:type="dcterms:W3CDTF">2022-09-01T22:00:00Z</dcterms:modified>
</cp:coreProperties>
</file>