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588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ALFA MENKUL DEĞERLER A.Ş.</w:t>
            </w:r>
          </w:p>
        </w:tc>
      </w:tr>
    </w:tbl>
    <w:p w:rsidR="00000000" w:rsidRDefault="00F158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08/01/1991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ŞİRKET, ALIM SATIM ARACILIĞI, MENKUL KIYMET AÇIĞA SATIŞ VE MENKUL KIYMETLERİN ÖDÜNÇ ALMA VE VERME İŞLEMLERİ İZİN BELGESİ, PORTFÖY YÖNETİCİLİĞİ, YATIRIM DA</w:t>
            </w:r>
            <w:r>
              <w:rPr>
                <w:rFonts w:ascii="Arial" w:hAnsi="Arial"/>
                <w:sz w:val="16"/>
              </w:rPr>
              <w:t>NIŞMANLIĞI, REPO VE TERS REPO TAAHHÜDÜ İLE ALIM SATIM VE HALKA ARZA ARACILIK YETKİ BELGELERİNE SAHİPTİR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S</w:t>
            </w:r>
            <w:r>
              <w:rPr>
                <w:rFonts w:ascii="Arial" w:hAnsi="Arial"/>
                <w:sz w:val="16"/>
              </w:rPr>
              <w:t>ERBEST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BOZDAĞ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RİCHARD CHARLES JACKSON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ADİLE DİLARA ŞENCAN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 DİĞDEM DİKKAYA KOLOĞL</w:t>
            </w:r>
            <w:r>
              <w:rPr>
                <w:rFonts w:ascii="Arial" w:hAnsi="Arial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282 18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282 18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</w:t>
            </w:r>
            <w:r>
              <w:rPr>
                <w:rFonts w:ascii="Arial" w:hAnsi="Arial"/>
                <w:b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5,100,470,000,000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</w:t>
            </w:r>
            <w:r>
              <w:rPr>
                <w:rFonts w:ascii="Arial" w:hAnsi="Arial"/>
                <w:b/>
                <w:i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15884">
      <w:pPr>
        <w:pStyle w:val="BodyText"/>
        <w:rPr>
          <w:color w:val="auto"/>
          <w:sz w:val="16"/>
        </w:rPr>
      </w:pPr>
    </w:p>
    <w:p w:rsidR="00000000" w:rsidRDefault="00F15884">
      <w:pPr>
        <w:pStyle w:val="BodyText"/>
        <w:rPr>
          <w:color w:val="auto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58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F158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5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below.</w:t>
            </w:r>
          </w:p>
        </w:tc>
      </w:tr>
    </w:tbl>
    <w:p w:rsidR="00000000" w:rsidRDefault="00F158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sz w:val="16"/>
                <w:lang w:val="en-GB"/>
              </w:rPr>
              <w:t>(</w:t>
            </w:r>
            <w:r>
              <w:rPr>
                <w:rFonts w:ascii="Arial" w:hAnsi="Arial"/>
                <w:b/>
                <w:i/>
                <w:sz w:val="16"/>
                <w:lang w:val="en-GB"/>
              </w:rPr>
              <w:t>TL Million</w:t>
            </w:r>
            <w:r>
              <w:rPr>
                <w:rFonts w:ascii="Arial" w:hAnsi="Arial"/>
                <w:b/>
                <w:sz w:val="16"/>
                <w:lang w:val="en-GB"/>
              </w:rPr>
              <w:t>)</w:t>
            </w:r>
          </w:p>
        </w:tc>
        <w:tc>
          <w:tcPr>
            <w:tcW w:w="1008" w:type="dxa"/>
          </w:tcPr>
          <w:p w:rsidR="00000000" w:rsidRDefault="00F15884">
            <w:pPr>
              <w:jc w:val="right"/>
              <w:rPr>
                <w:rFonts w:ascii="Arial" w:hAnsi="Arial"/>
                <w:b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sz w:val="16"/>
                <w:u w:val="single"/>
                <w:lang w:val="en-GB"/>
              </w:rPr>
              <w:t>2002</w:t>
            </w:r>
          </w:p>
        </w:tc>
        <w:tc>
          <w:tcPr>
            <w:tcW w:w="1008" w:type="dxa"/>
          </w:tcPr>
          <w:p w:rsidR="00000000" w:rsidRDefault="00F15884">
            <w:pPr>
              <w:jc w:val="right"/>
              <w:rPr>
                <w:rFonts w:ascii="Arial" w:hAnsi="Arial"/>
                <w:b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sz w:val="16"/>
                <w:u w:val="single"/>
                <w:lang w:val="en-GB"/>
              </w:rPr>
              <w:t xml:space="preserve">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Hisse Senetleri</w:t>
            </w:r>
          </w:p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(Equities)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008" w:type="dxa"/>
          </w:tcPr>
          <w:p w:rsidR="00000000" w:rsidRDefault="00F15884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34,250</w:t>
            </w:r>
          </w:p>
        </w:tc>
        <w:tc>
          <w:tcPr>
            <w:tcW w:w="1008" w:type="dxa"/>
          </w:tcPr>
          <w:p w:rsidR="00000000" w:rsidRDefault="00F15884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31,581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Özel Sektör Tahvil ve Bonoları</w:t>
            </w:r>
          </w:p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(Private Sector Bonds Notes &amp; Bills)</w:t>
            </w:r>
          </w:p>
        </w:tc>
        <w:tc>
          <w:tcPr>
            <w:tcW w:w="10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Kamu Kesimi Tahvil ve Bonoları</w:t>
            </w:r>
          </w:p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sz w:val="16"/>
                <w:lang w:val="en-GB"/>
              </w:rPr>
              <w:t xml:space="preserve">         </w:t>
            </w:r>
            <w:r>
              <w:rPr>
                <w:rFonts w:ascii="Arial" w:hAnsi="Arial"/>
                <w:sz w:val="16"/>
                <w:lang w:val="en-GB"/>
              </w:rPr>
              <w:t xml:space="preserve">         </w:t>
            </w:r>
          </w:p>
        </w:tc>
        <w:tc>
          <w:tcPr>
            <w:tcW w:w="1008" w:type="dxa"/>
          </w:tcPr>
          <w:p w:rsidR="00000000" w:rsidRDefault="00F15884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131,020</w:t>
            </w:r>
          </w:p>
        </w:tc>
        <w:tc>
          <w:tcPr>
            <w:tcW w:w="1008" w:type="dxa"/>
          </w:tcPr>
          <w:p w:rsidR="00000000" w:rsidRDefault="00F15884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1,399,845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Diðer Menkul Kıymetler </w:t>
            </w:r>
          </w:p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Toplam Menkul Kıymetler</w:t>
            </w:r>
          </w:p>
          <w:p w:rsidR="00000000" w:rsidRDefault="00F15884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008" w:type="dxa"/>
          </w:tcPr>
          <w:p w:rsidR="00000000" w:rsidRDefault="00F15884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165,270</w:t>
            </w:r>
          </w:p>
        </w:tc>
        <w:tc>
          <w:tcPr>
            <w:tcW w:w="1008" w:type="dxa"/>
          </w:tcPr>
          <w:p w:rsidR="00000000" w:rsidRDefault="00F15884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1,431,426</w:t>
            </w:r>
          </w:p>
        </w:tc>
      </w:tr>
    </w:tbl>
    <w:p w:rsidR="00000000" w:rsidRDefault="00F15884">
      <w:pPr>
        <w:rPr>
          <w:rFonts w:ascii="Arial" w:hAnsi="Arial"/>
          <w:sz w:val="16"/>
        </w:rPr>
      </w:pPr>
    </w:p>
    <w:p w:rsidR="00000000" w:rsidRDefault="00F158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58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</w:t>
            </w:r>
            <w:r>
              <w:rPr>
                <w:rFonts w:ascii="Arial" w:hAnsi="Arial"/>
                <w:sz w:val="16"/>
              </w:rPr>
              <w:t xml:space="preserve">rak sermayesi içindeki payı aşağıda gösterilmektedir. </w:t>
            </w:r>
          </w:p>
        </w:tc>
        <w:tc>
          <w:tcPr>
            <w:tcW w:w="1134" w:type="dxa"/>
          </w:tcPr>
          <w:p w:rsidR="00000000" w:rsidRDefault="00F158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5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1588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</w:t>
            </w:r>
            <w:r>
              <w:rPr>
                <w:rFonts w:ascii="Arial" w:hAnsi="Arial"/>
                <w:sz w:val="16"/>
              </w:rPr>
              <w:t>M.K.B. TAKAS VE SAKLAMA BANKASIA.Ş.</w:t>
            </w:r>
          </w:p>
        </w:tc>
        <w:tc>
          <w:tcPr>
            <w:tcW w:w="1910" w:type="dxa"/>
          </w:tcPr>
          <w:p w:rsidR="00000000" w:rsidRDefault="00F158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 TL</w:t>
            </w:r>
          </w:p>
        </w:tc>
        <w:tc>
          <w:tcPr>
            <w:tcW w:w="2342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</w:tbl>
    <w:p w:rsidR="00000000" w:rsidRDefault="00F15884">
      <w:pPr>
        <w:rPr>
          <w:rFonts w:ascii="Arial" w:hAnsi="Arial"/>
          <w:sz w:val="16"/>
        </w:rPr>
      </w:pPr>
    </w:p>
    <w:p w:rsidR="00000000" w:rsidRDefault="00F158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58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158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5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15884">
      <w:pPr>
        <w:jc w:val="both"/>
        <w:rPr>
          <w:rFonts w:ascii="Arial" w:hAnsi="Arial"/>
          <w:sz w:val="16"/>
        </w:rPr>
      </w:pP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</w:t>
      </w:r>
      <w:r>
        <w:rPr>
          <w:rFonts w:ascii="Arial" w:hAnsi="Arial"/>
          <w:sz w:val="16"/>
        </w:rPr>
        <w:t>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CINGILLI HOLDİNG A.Ş.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2,011,976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FACTORING A.Ş.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1,368,066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26.82</w:t>
            </w:r>
          </w:p>
        </w:tc>
      </w:tr>
    </w:tbl>
    <w:p w:rsidR="00000000" w:rsidRDefault="00F15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SERBEST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BOZDAĞ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RİCHARD C</w:t>
            </w:r>
            <w:r>
              <w:rPr>
                <w:rFonts w:ascii="Arial" w:hAnsi="Arial"/>
                <w:sz w:val="16"/>
              </w:rPr>
              <w:t>HARLES JACKSON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</w:tbl>
    <w:p w:rsidR="00000000" w:rsidRDefault="00F15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ASIM KARADENİZ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96,128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DİĞDEM DİKKAYA KOLOĞLU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ADİLE DİLARA ŞENCAN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</w:tbl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</w:t>
      </w:r>
      <w:r>
        <w:rPr>
          <w:rFonts w:ascii="Arial" w:hAnsi="Arial"/>
          <w:sz w:val="16"/>
        </w:rPr>
        <w:t xml:space="preserve"> ayrı),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</w:t>
      </w:r>
      <w:r>
        <w:rPr>
          <w:rFonts w:ascii="Arial" w:hAnsi="Arial"/>
          <w:sz w:val="16"/>
        </w:rPr>
        <w:t>r ile aynı holding, grup yada topluluk bünyesinde bulunan tüzel kişi ortaklar ( ayrı ayrı )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15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r>
              <w:rPr>
                <w:rFonts w:ascii="Arial" w:hAnsi="Arial"/>
                <w:b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952,307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SAFRON AMD PARTNERS LP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494,292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 CINGILLIOĞLU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68,844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CINGILLIOĞLU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66,998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CINGILLIOĞLU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41,849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</w:t>
            </w: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AYANLAR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FAHRİ BATUR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ARİF BİLGEN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</w:tr>
    </w:tbl>
    <w:p w:rsidR="00000000" w:rsidRDefault="00F15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1588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5,100,470</w:t>
            </w: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5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(A+B+C+D+E+Diğer Ortaklar)</w:t>
            </w:r>
          </w:p>
        </w:tc>
        <w:tc>
          <w:tcPr>
            <w:tcW w:w="1908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1588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15884">
      <w:pPr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9375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5884"/>
    <w:rsid w:val="00F1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7317A-CE66-49CE-91BD-7445E69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2003-05-09T14:47:00Z</cp:lastPrinted>
  <dcterms:created xsi:type="dcterms:W3CDTF">2022-09-01T21:30:00Z</dcterms:created>
  <dcterms:modified xsi:type="dcterms:W3CDTF">2022-09-01T21:30:00Z</dcterms:modified>
</cp:coreProperties>
</file>