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0AE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ÇBS BOYA KİMYA SANAYİİ VE TİCARETİ A.Ş.</w:t>
            </w:r>
          </w:p>
        </w:tc>
      </w:tr>
    </w:tbl>
    <w:p w:rsidR="00000000" w:rsidRDefault="001F0A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27/10/1969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BOYA, VERNİK, REÇİNE, POLİMERİZASYON, KONDANZASYON MAMÜLLERİ İLE KİMYEVİ MADDELER İMALİ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(PRODUCTION AND MARKETING OF ALL KI</w:t>
            </w:r>
            <w:r>
              <w:rPr>
                <w:rFonts w:ascii="Arial" w:hAnsi="Arial"/>
                <w:color w:val="000000"/>
                <w:sz w:val="16"/>
              </w:rPr>
              <w:t>NDS OF PAINTS AND RESINA)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CUMHURİYET MAH. İSTANBUL CAD. NO:140 ÇAYIROVA/GEBZE/KOCAELİ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SEYFETTİN BİÇİCİ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EŞREF ÇAVUŞOĞLU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ÇAVUŞOĞLU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AYDIN ÇAVUŞOĞLU    </w:t>
            </w:r>
          </w:p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0.262.744 95 60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0.262.744 44 69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 PERSONEL VE 49 İŞÇİ OLMAK ÜZERE TOPLAM 129 Kİ</w:t>
            </w:r>
            <w:r>
              <w:rPr>
                <w:rFonts w:ascii="Arial" w:hAnsi="Arial"/>
                <w:color w:val="000000"/>
                <w:sz w:val="16"/>
              </w:rPr>
              <w:t>Şİ.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KİMYA PETROL LASTİK VE PLASTİK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</w:t>
            </w:r>
            <w:r>
              <w:rPr>
                <w:rFonts w:ascii="Arial" w:hAnsi="Arial"/>
                <w:b/>
                <w:color w:val="000000"/>
                <w:sz w:val="16"/>
              </w:rPr>
              <w:t>mployers' Union)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E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6.564.350.000.000.-TL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6.564.350.000.000.-TL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1F0AEA">
      <w:pPr>
        <w:rPr>
          <w:rFonts w:ascii="Arial" w:hAnsi="Arial"/>
          <w:sz w:val="16"/>
        </w:rPr>
      </w:pPr>
    </w:p>
    <w:p w:rsidR="00000000" w:rsidRDefault="001F0AEA">
      <w:pPr>
        <w:rPr>
          <w:rFonts w:ascii="Arial" w:hAnsi="Arial"/>
          <w:sz w:val="16"/>
        </w:rPr>
      </w:pPr>
    </w:p>
    <w:p w:rsidR="00000000" w:rsidRDefault="001F0A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0A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</w:t>
            </w:r>
            <w:r>
              <w:rPr>
                <w:rFonts w:ascii="Arial" w:hAnsi="Arial"/>
                <w:sz w:val="16"/>
              </w:rPr>
              <w:t>le üretim bilgileri aşağıda gösterilmiştir.</w:t>
            </w:r>
          </w:p>
        </w:tc>
        <w:tc>
          <w:tcPr>
            <w:tcW w:w="1134" w:type="dxa"/>
          </w:tcPr>
          <w:p w:rsidR="00000000" w:rsidRDefault="001F0A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0A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F0AE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39"/>
        <w:gridCol w:w="811"/>
        <w:gridCol w:w="2127"/>
        <w:gridCol w:w="708"/>
        <w:gridCol w:w="1843"/>
        <w:gridCol w:w="709"/>
        <w:gridCol w:w="283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3" w:type="dxa"/>
          <w:cantSplit/>
        </w:trPr>
        <w:tc>
          <w:tcPr>
            <w:tcW w:w="709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gridSpan w:val="2"/>
          </w:tcPr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Standart İnşaat Boya(Ton)</w:t>
            </w:r>
          </w:p>
        </w:tc>
        <w:tc>
          <w:tcPr>
            <w:tcW w:w="811" w:type="dxa"/>
          </w:tcPr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7" w:type="dxa"/>
          </w:tcPr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Std.Endüstri.Boya(Ton) </w:t>
            </w:r>
          </w:p>
        </w:tc>
        <w:tc>
          <w:tcPr>
            <w:tcW w:w="708" w:type="dxa"/>
          </w:tcPr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Sanayi Boyaları(Ton) </w:t>
            </w:r>
          </w:p>
        </w:tc>
        <w:tc>
          <w:tcPr>
            <w:tcW w:w="709" w:type="dxa"/>
          </w:tcPr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3" w:type="dxa"/>
          <w:cantSplit/>
        </w:trPr>
        <w:tc>
          <w:tcPr>
            <w:tcW w:w="709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  <w:gridSpan w:val="2"/>
          </w:tcPr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11.593</w:t>
            </w:r>
          </w:p>
        </w:tc>
        <w:tc>
          <w:tcPr>
            <w:tcW w:w="811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24,46</w:t>
            </w:r>
          </w:p>
        </w:tc>
        <w:tc>
          <w:tcPr>
            <w:tcW w:w="2127" w:type="dxa"/>
          </w:tcPr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708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  <w:r>
              <w:rPr>
                <w:rFonts w:ascii="Arial" w:hAnsi="Arial"/>
                <w:sz w:val="16"/>
              </w:rPr>
              <w:t>,60</w:t>
            </w:r>
          </w:p>
        </w:tc>
        <w:tc>
          <w:tcPr>
            <w:tcW w:w="1843" w:type="dxa"/>
          </w:tcPr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341</w:t>
            </w:r>
          </w:p>
        </w:tc>
        <w:tc>
          <w:tcPr>
            <w:tcW w:w="709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3" w:type="dxa"/>
          <w:cantSplit/>
        </w:trPr>
        <w:tc>
          <w:tcPr>
            <w:tcW w:w="709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  <w:gridSpan w:val="2"/>
          </w:tcPr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8.499</w:t>
            </w:r>
          </w:p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1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17,93</w:t>
            </w:r>
          </w:p>
        </w:tc>
        <w:tc>
          <w:tcPr>
            <w:tcW w:w="2127" w:type="dxa"/>
          </w:tcPr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8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24,80</w:t>
            </w:r>
          </w:p>
        </w:tc>
        <w:tc>
          <w:tcPr>
            <w:tcW w:w="1843" w:type="dxa"/>
          </w:tcPr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</w:t>
            </w:r>
          </w:p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gridSpan w:val="2"/>
          </w:tcPr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Mobilya Boyaları(Ton)</w:t>
            </w:r>
          </w:p>
        </w:tc>
        <w:tc>
          <w:tcPr>
            <w:tcW w:w="811" w:type="dxa"/>
          </w:tcPr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7" w:type="dxa"/>
          </w:tcPr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 Boyaları(Ton)</w:t>
            </w:r>
          </w:p>
        </w:tc>
        <w:tc>
          <w:tcPr>
            <w:tcW w:w="708" w:type="dxa"/>
          </w:tcPr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Mıxıng(Ton)</w:t>
            </w:r>
          </w:p>
        </w:tc>
        <w:tc>
          <w:tcPr>
            <w:tcW w:w="992" w:type="dxa"/>
            <w:gridSpan w:val="2"/>
          </w:tcPr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  <w:gridSpan w:val="2"/>
          </w:tcPr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</w:t>
            </w:r>
          </w:p>
        </w:tc>
        <w:tc>
          <w:tcPr>
            <w:tcW w:w="811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3,91</w:t>
            </w:r>
          </w:p>
        </w:tc>
        <w:tc>
          <w:tcPr>
            <w:tcW w:w="2127" w:type="dxa"/>
          </w:tcPr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724</w:t>
            </w:r>
          </w:p>
        </w:tc>
        <w:tc>
          <w:tcPr>
            <w:tcW w:w="708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7,43</w:t>
            </w:r>
          </w:p>
        </w:tc>
        <w:tc>
          <w:tcPr>
            <w:tcW w:w="1843" w:type="dxa"/>
          </w:tcPr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992" w:type="dxa"/>
            <w:gridSpan w:val="2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  <w:gridSpan w:val="2"/>
          </w:tcPr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</w:t>
            </w:r>
          </w:p>
        </w:tc>
        <w:tc>
          <w:tcPr>
            <w:tcW w:w="811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7,08</w:t>
            </w:r>
          </w:p>
        </w:tc>
        <w:tc>
          <w:tcPr>
            <w:tcW w:w="2127" w:type="dxa"/>
          </w:tcPr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650</w:t>
            </w:r>
          </w:p>
        </w:tc>
        <w:tc>
          <w:tcPr>
            <w:tcW w:w="708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6,67</w:t>
            </w:r>
          </w:p>
        </w:tc>
        <w:tc>
          <w:tcPr>
            <w:tcW w:w="1843" w:type="dxa"/>
          </w:tcPr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5"/>
          <w:wAfter w:w="5670" w:type="dxa"/>
          <w:cantSplit/>
        </w:trPr>
        <w:tc>
          <w:tcPr>
            <w:tcW w:w="709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Bağlayıcılar(Ton)</w:t>
            </w:r>
          </w:p>
        </w:tc>
        <w:tc>
          <w:tcPr>
            <w:tcW w:w="850" w:type="dxa"/>
            <w:gridSpan w:val="2"/>
          </w:tcPr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5"/>
          <w:wAfter w:w="5670" w:type="dxa"/>
          <w:cantSplit/>
        </w:trPr>
        <w:tc>
          <w:tcPr>
            <w:tcW w:w="709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68" w:type="dxa"/>
          </w:tcPr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491</w:t>
            </w:r>
          </w:p>
        </w:tc>
        <w:tc>
          <w:tcPr>
            <w:tcW w:w="850" w:type="dxa"/>
            <w:gridSpan w:val="2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5"/>
          <w:wAfter w:w="5670" w:type="dxa"/>
          <w:cantSplit/>
        </w:trPr>
        <w:tc>
          <w:tcPr>
            <w:tcW w:w="709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</w:tcPr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0,27</w:t>
            </w:r>
          </w:p>
        </w:tc>
      </w:tr>
    </w:tbl>
    <w:p w:rsidR="00000000" w:rsidRDefault="001F0AE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F0AEA">
      <w:pPr>
        <w:pStyle w:val="Heading3"/>
      </w:pPr>
      <w:r>
        <w:t>C.U.R.-Capacity Utilization Rate</w:t>
      </w:r>
    </w:p>
    <w:p w:rsidR="00000000" w:rsidRDefault="001F0AEA">
      <w:pPr>
        <w:rPr>
          <w:rFonts w:ascii="Arial" w:hAnsi="Arial"/>
          <w:sz w:val="16"/>
        </w:rPr>
      </w:pPr>
    </w:p>
    <w:p w:rsidR="00000000" w:rsidRDefault="001F0AEA">
      <w:pPr>
        <w:rPr>
          <w:rFonts w:ascii="Arial" w:hAnsi="Arial"/>
          <w:sz w:val="16"/>
        </w:rPr>
      </w:pPr>
    </w:p>
    <w:p w:rsidR="00000000" w:rsidRDefault="001F0AEA">
      <w:pPr>
        <w:rPr>
          <w:rFonts w:ascii="Arial" w:hAnsi="Arial"/>
          <w:sz w:val="16"/>
        </w:rPr>
      </w:pPr>
    </w:p>
    <w:p w:rsidR="00000000" w:rsidRDefault="001F0AEA">
      <w:pPr>
        <w:rPr>
          <w:rFonts w:ascii="Arial" w:hAnsi="Arial"/>
          <w:sz w:val="16"/>
        </w:rPr>
      </w:pPr>
    </w:p>
    <w:p w:rsidR="00000000" w:rsidRDefault="001F0AEA">
      <w:pPr>
        <w:rPr>
          <w:rFonts w:ascii="Arial" w:hAnsi="Arial"/>
          <w:sz w:val="16"/>
        </w:rPr>
      </w:pPr>
    </w:p>
    <w:p w:rsidR="00000000" w:rsidRDefault="001F0AEA">
      <w:pPr>
        <w:rPr>
          <w:rFonts w:ascii="Arial" w:hAnsi="Arial"/>
          <w:sz w:val="16"/>
        </w:rPr>
      </w:pPr>
    </w:p>
    <w:p w:rsidR="00000000" w:rsidRDefault="001F0AEA">
      <w:pPr>
        <w:rPr>
          <w:rFonts w:ascii="Arial" w:hAnsi="Arial"/>
          <w:sz w:val="16"/>
        </w:rPr>
      </w:pPr>
    </w:p>
    <w:p w:rsidR="00000000" w:rsidRDefault="001F0AEA">
      <w:pPr>
        <w:rPr>
          <w:rFonts w:ascii="Arial" w:hAnsi="Arial"/>
          <w:sz w:val="16"/>
        </w:rPr>
      </w:pPr>
    </w:p>
    <w:p w:rsidR="00000000" w:rsidRDefault="001F0AEA">
      <w:pPr>
        <w:rPr>
          <w:rFonts w:ascii="Arial" w:hAnsi="Arial"/>
          <w:sz w:val="16"/>
        </w:rPr>
      </w:pPr>
    </w:p>
    <w:p w:rsidR="00000000" w:rsidRDefault="001F0AEA">
      <w:pPr>
        <w:rPr>
          <w:rFonts w:ascii="Arial" w:hAnsi="Arial"/>
          <w:sz w:val="16"/>
        </w:rPr>
      </w:pPr>
    </w:p>
    <w:p w:rsidR="00000000" w:rsidRDefault="001F0AEA">
      <w:pPr>
        <w:rPr>
          <w:rFonts w:ascii="Arial" w:hAnsi="Arial"/>
          <w:sz w:val="16"/>
        </w:rPr>
      </w:pPr>
    </w:p>
    <w:p w:rsidR="00000000" w:rsidRDefault="001F0AEA">
      <w:pPr>
        <w:rPr>
          <w:rFonts w:ascii="Arial" w:hAnsi="Arial"/>
          <w:sz w:val="16"/>
        </w:rPr>
      </w:pPr>
    </w:p>
    <w:p w:rsidR="00000000" w:rsidRDefault="001F0AEA">
      <w:pPr>
        <w:rPr>
          <w:rFonts w:ascii="Arial" w:hAnsi="Arial"/>
          <w:sz w:val="16"/>
        </w:rPr>
      </w:pPr>
    </w:p>
    <w:p w:rsidR="00000000" w:rsidRDefault="001F0AEA">
      <w:pPr>
        <w:rPr>
          <w:rFonts w:ascii="Arial" w:hAnsi="Arial"/>
          <w:sz w:val="16"/>
        </w:rPr>
      </w:pPr>
    </w:p>
    <w:p w:rsidR="00000000" w:rsidRDefault="001F0AEA">
      <w:pPr>
        <w:rPr>
          <w:rFonts w:ascii="Arial" w:hAnsi="Arial"/>
          <w:sz w:val="16"/>
        </w:rPr>
      </w:pPr>
    </w:p>
    <w:p w:rsidR="00000000" w:rsidRDefault="001F0A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0A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F0A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0A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F0AE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Standart </w:t>
            </w:r>
            <w:r>
              <w:rPr>
                <w:rFonts w:ascii="Arial" w:hAnsi="Arial"/>
                <w:b/>
                <w:sz w:val="16"/>
              </w:rPr>
              <w:t>İnşaat Boya(Ton)</w:t>
            </w:r>
          </w:p>
        </w:tc>
        <w:tc>
          <w:tcPr>
            <w:tcW w:w="1990" w:type="dxa"/>
          </w:tcPr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Std.Endüstri.Boya(Ton)</w:t>
            </w:r>
          </w:p>
        </w:tc>
        <w:tc>
          <w:tcPr>
            <w:tcW w:w="1908" w:type="dxa"/>
          </w:tcPr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Boyaları(Ton)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F0AE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12.315</w:t>
            </w:r>
          </w:p>
        </w:tc>
        <w:tc>
          <w:tcPr>
            <w:tcW w:w="1990" w:type="dxa"/>
          </w:tcPr>
          <w:p w:rsidR="00000000" w:rsidRDefault="001F0AE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908" w:type="dxa"/>
          </w:tcPr>
          <w:p w:rsidR="00000000" w:rsidRDefault="001F0AE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F0AE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13.559</w:t>
            </w:r>
          </w:p>
          <w:p w:rsidR="00000000" w:rsidRDefault="001F0AE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1F0AE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08" w:type="dxa"/>
          </w:tcPr>
          <w:p w:rsidR="00000000" w:rsidRDefault="001F0AE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</w:t>
            </w:r>
          </w:p>
        </w:tc>
      </w:tr>
    </w:tbl>
    <w:p w:rsidR="00000000" w:rsidRDefault="001F0AE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45"/>
        <w:gridCol w:w="1945"/>
        <w:gridCol w:w="194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Mobilya Boyaları(Ton)</w:t>
            </w:r>
          </w:p>
        </w:tc>
        <w:tc>
          <w:tcPr>
            <w:tcW w:w="1945" w:type="dxa"/>
          </w:tcPr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 Boyaları(Ton)</w:t>
            </w:r>
          </w:p>
        </w:tc>
        <w:tc>
          <w:tcPr>
            <w:tcW w:w="1945" w:type="dxa"/>
          </w:tcPr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Mıxıng (Ton)</w:t>
            </w:r>
          </w:p>
        </w:tc>
        <w:tc>
          <w:tcPr>
            <w:tcW w:w="1945" w:type="dxa"/>
          </w:tcPr>
          <w:p w:rsidR="00000000" w:rsidRDefault="001F0A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Bağlayıcılar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</w:t>
            </w:r>
          </w:p>
        </w:tc>
        <w:tc>
          <w:tcPr>
            <w:tcW w:w="1945" w:type="dxa"/>
          </w:tcPr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761</w:t>
            </w:r>
          </w:p>
        </w:tc>
        <w:tc>
          <w:tcPr>
            <w:tcW w:w="1945" w:type="dxa"/>
          </w:tcPr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45" w:type="dxa"/>
          </w:tcPr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</w:t>
            </w:r>
          </w:p>
        </w:tc>
        <w:tc>
          <w:tcPr>
            <w:tcW w:w="1945" w:type="dxa"/>
          </w:tcPr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718</w:t>
            </w:r>
          </w:p>
        </w:tc>
        <w:tc>
          <w:tcPr>
            <w:tcW w:w="1945" w:type="dxa"/>
          </w:tcPr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45" w:type="dxa"/>
          </w:tcPr>
          <w:p w:rsidR="00000000" w:rsidRDefault="001F0AE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</w:tbl>
    <w:p w:rsidR="00000000" w:rsidRDefault="001F0AEA">
      <w:pPr>
        <w:rPr>
          <w:rFonts w:ascii="Arial" w:hAnsi="Arial"/>
          <w:sz w:val="16"/>
        </w:rPr>
      </w:pPr>
    </w:p>
    <w:p w:rsidR="00000000" w:rsidRDefault="001F0AEA">
      <w:pPr>
        <w:rPr>
          <w:rFonts w:ascii="Arial" w:hAnsi="Arial"/>
          <w:sz w:val="16"/>
        </w:rPr>
      </w:pPr>
    </w:p>
    <w:p w:rsidR="00000000" w:rsidRDefault="001F0A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0A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</w:t>
            </w:r>
            <w:r>
              <w:rPr>
                <w:rFonts w:ascii="Arial" w:hAnsi="Arial"/>
                <w:sz w:val="16"/>
              </w:rPr>
              <w:t>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F0A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0A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F0AE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0A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F0A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1F0A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1F0A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1F0A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0A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F0A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$) </w:t>
            </w:r>
          </w:p>
        </w:tc>
        <w:tc>
          <w:tcPr>
            <w:tcW w:w="2268" w:type="dxa"/>
          </w:tcPr>
          <w:p w:rsidR="00000000" w:rsidRDefault="001F0A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1F0A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1F0A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1F0AE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5.278.966.000.000</w:t>
            </w:r>
          </w:p>
          <w:p w:rsidR="00000000" w:rsidRDefault="001F0AE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3.565.160.-$</w:t>
            </w:r>
          </w:p>
        </w:tc>
        <w:tc>
          <w:tcPr>
            <w:tcW w:w="2268" w:type="dxa"/>
          </w:tcPr>
          <w:p w:rsidR="00000000" w:rsidRDefault="001F0AE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20,78</w:t>
            </w:r>
          </w:p>
        </w:tc>
        <w:tc>
          <w:tcPr>
            <w:tcW w:w="1842" w:type="dxa"/>
          </w:tcPr>
          <w:p w:rsidR="00000000" w:rsidRDefault="001F0AE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4.957.573.291.000</w:t>
            </w:r>
          </w:p>
          <w:p w:rsidR="00000000" w:rsidRDefault="001F0AE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3.248.253.-$</w:t>
            </w:r>
          </w:p>
        </w:tc>
        <w:tc>
          <w:tcPr>
            <w:tcW w:w="1986" w:type="dxa"/>
          </w:tcPr>
          <w:p w:rsidR="00000000" w:rsidRDefault="001F0AE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15,20</w:t>
            </w:r>
          </w:p>
          <w:p w:rsidR="00000000" w:rsidRDefault="001F0AE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0A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1F0AE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3.988.874.292.599</w:t>
            </w:r>
          </w:p>
          <w:p w:rsidR="00000000" w:rsidRDefault="001F0AE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3.267.462.-$</w:t>
            </w:r>
          </w:p>
        </w:tc>
        <w:tc>
          <w:tcPr>
            <w:tcW w:w="2268" w:type="dxa"/>
          </w:tcPr>
          <w:p w:rsidR="00000000" w:rsidRDefault="001F0AE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22,39</w:t>
            </w:r>
          </w:p>
        </w:tc>
        <w:tc>
          <w:tcPr>
            <w:tcW w:w="1842" w:type="dxa"/>
          </w:tcPr>
          <w:p w:rsidR="00000000" w:rsidRDefault="001F0AE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4.568.404.815.000</w:t>
            </w:r>
          </w:p>
          <w:p w:rsidR="00000000" w:rsidRDefault="001F0AE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3.683.741.-$</w:t>
            </w:r>
          </w:p>
        </w:tc>
        <w:tc>
          <w:tcPr>
            <w:tcW w:w="1986" w:type="dxa"/>
          </w:tcPr>
          <w:p w:rsidR="00000000" w:rsidRDefault="001F0AE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17,82</w:t>
            </w:r>
          </w:p>
        </w:tc>
      </w:tr>
    </w:tbl>
    <w:p w:rsidR="00000000" w:rsidRDefault="001F0AEA">
      <w:pPr>
        <w:rPr>
          <w:rFonts w:ascii="Arial" w:hAnsi="Arial"/>
          <w:b/>
          <w:sz w:val="16"/>
          <w:u w:val="single"/>
        </w:rPr>
      </w:pPr>
    </w:p>
    <w:p w:rsidR="00000000" w:rsidRDefault="001F0AEA">
      <w:pPr>
        <w:rPr>
          <w:rFonts w:ascii="Arial" w:hAnsi="Arial"/>
          <w:sz w:val="16"/>
        </w:rPr>
      </w:pPr>
    </w:p>
    <w:p w:rsidR="00000000" w:rsidRDefault="001F0A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F0A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</w:t>
            </w:r>
            <w:r>
              <w:rPr>
                <w:rFonts w:ascii="Arial" w:hAnsi="Arial"/>
                <w:sz w:val="16"/>
              </w:rPr>
              <w:t>olan ve proje halindeki yatırımları aşağıda verilmektedir.</w:t>
            </w:r>
          </w:p>
        </w:tc>
        <w:tc>
          <w:tcPr>
            <w:tcW w:w="1212" w:type="dxa"/>
          </w:tcPr>
          <w:p w:rsidR="00000000" w:rsidRDefault="001F0AE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F0A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F0AE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0AE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F0A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F0A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F0A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F0A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F0A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F0A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0A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F0A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F0A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F0A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0A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1F0AEA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F0AEA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F0AEA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F0AEA">
      <w:pPr>
        <w:rPr>
          <w:rFonts w:ascii="Arial" w:hAnsi="Arial"/>
          <w:sz w:val="16"/>
        </w:rPr>
      </w:pPr>
    </w:p>
    <w:p w:rsidR="00000000" w:rsidRDefault="001F0AEA">
      <w:pPr>
        <w:rPr>
          <w:rFonts w:ascii="Arial" w:hAnsi="Arial"/>
          <w:sz w:val="16"/>
        </w:rPr>
      </w:pPr>
    </w:p>
    <w:p w:rsidR="00000000" w:rsidRDefault="001F0AE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0A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F0A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0A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</w:t>
            </w:r>
            <w:r>
              <w:rPr>
                <w:rFonts w:ascii="Arial" w:hAnsi="Arial"/>
                <w:i/>
                <w:sz w:val="16"/>
              </w:rPr>
              <w:t>ts portion in their  equity capital are shown below.</w:t>
            </w:r>
          </w:p>
        </w:tc>
      </w:tr>
    </w:tbl>
    <w:p w:rsidR="00000000" w:rsidRDefault="001F0AE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F0A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F0A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0A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F0A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F0A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HOLDİNG A.Ş.</w:t>
            </w:r>
          </w:p>
        </w:tc>
        <w:tc>
          <w:tcPr>
            <w:tcW w:w="2299" w:type="dxa"/>
          </w:tcPr>
          <w:p w:rsidR="00000000" w:rsidRDefault="001F0A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2.000.000.000.000.-TL</w:t>
            </w:r>
          </w:p>
        </w:tc>
        <w:tc>
          <w:tcPr>
            <w:tcW w:w="2343" w:type="dxa"/>
          </w:tcPr>
          <w:p w:rsidR="00000000" w:rsidRDefault="001F0A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OTO BOYALARI SAN. VE TİC.A.Ş.</w:t>
            </w:r>
          </w:p>
        </w:tc>
        <w:tc>
          <w:tcPr>
            <w:tcW w:w="2299" w:type="dxa"/>
          </w:tcPr>
          <w:p w:rsidR="00000000" w:rsidRDefault="001F0A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8.000.000.000.000.-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1F0A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</w:tbl>
    <w:p w:rsidR="00000000" w:rsidRDefault="001F0AEA">
      <w:pPr>
        <w:rPr>
          <w:rFonts w:ascii="Arial" w:hAnsi="Arial"/>
          <w:color w:val="FF0000"/>
          <w:sz w:val="16"/>
        </w:rPr>
      </w:pPr>
    </w:p>
    <w:p w:rsidR="00000000" w:rsidRDefault="001F0AEA">
      <w:pPr>
        <w:rPr>
          <w:rFonts w:ascii="Arial" w:hAnsi="Arial"/>
          <w:color w:val="FF0000"/>
          <w:sz w:val="16"/>
        </w:rPr>
      </w:pPr>
    </w:p>
    <w:p w:rsidR="00000000" w:rsidRDefault="001F0AE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0A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F0A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0A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F0AE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0A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F0A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F0A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0A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F0A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ion)</w:t>
            </w:r>
          </w:p>
        </w:tc>
        <w:tc>
          <w:tcPr>
            <w:tcW w:w="2410" w:type="dxa"/>
          </w:tcPr>
          <w:p w:rsidR="00000000" w:rsidRDefault="001F0A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F0AE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ÇBS HOLDİNG A.Ş.</w:t>
            </w:r>
          </w:p>
        </w:tc>
        <w:tc>
          <w:tcPr>
            <w:tcW w:w="1892" w:type="dxa"/>
          </w:tcPr>
          <w:p w:rsidR="00000000" w:rsidRDefault="001F0A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3.601.977.-</w:t>
            </w:r>
          </w:p>
        </w:tc>
        <w:tc>
          <w:tcPr>
            <w:tcW w:w="2410" w:type="dxa"/>
          </w:tcPr>
          <w:p w:rsidR="00000000" w:rsidRDefault="001F0A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INTERNATIONAL FINANCE CORP. (IFC)</w:t>
            </w:r>
          </w:p>
        </w:tc>
        <w:tc>
          <w:tcPr>
            <w:tcW w:w="1892" w:type="dxa"/>
          </w:tcPr>
          <w:p w:rsidR="00000000" w:rsidRDefault="001F0A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969.504.-</w:t>
            </w:r>
          </w:p>
        </w:tc>
        <w:tc>
          <w:tcPr>
            <w:tcW w:w="2410" w:type="dxa"/>
          </w:tcPr>
          <w:p w:rsidR="00000000" w:rsidRDefault="001F0A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DİĞER ORTAKLAR (1000 KİŞİ)</w:t>
            </w:r>
          </w:p>
        </w:tc>
        <w:tc>
          <w:tcPr>
            <w:tcW w:w="1892" w:type="dxa"/>
          </w:tcPr>
          <w:p w:rsidR="00000000" w:rsidRDefault="001F0A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1.992.869.-</w:t>
            </w:r>
          </w:p>
        </w:tc>
        <w:tc>
          <w:tcPr>
            <w:tcW w:w="2410" w:type="dxa"/>
          </w:tcPr>
          <w:p w:rsidR="00000000" w:rsidRDefault="001F0A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0AE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F0A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6.564.350.-</w:t>
            </w:r>
          </w:p>
        </w:tc>
        <w:tc>
          <w:tcPr>
            <w:tcW w:w="2410" w:type="dxa"/>
          </w:tcPr>
          <w:p w:rsidR="00000000" w:rsidRDefault="001F0AE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1F0AEA">
      <w:pPr>
        <w:jc w:val="both"/>
        <w:rPr>
          <w:rFonts w:ascii="Arial" w:hAnsi="Arial"/>
          <w:sz w:val="16"/>
        </w:rPr>
      </w:pPr>
    </w:p>
    <w:p w:rsidR="00000000" w:rsidRDefault="001F0AEA">
      <w:pPr>
        <w:jc w:val="both"/>
        <w:rPr>
          <w:rFonts w:ascii="Arial" w:hAnsi="Arial"/>
          <w:sz w:val="16"/>
        </w:rPr>
      </w:pPr>
    </w:p>
    <w:p w:rsidR="00000000" w:rsidRDefault="001F0A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0AEA"/>
    <w:rsid w:val="001F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421CB-B0A3-48A8-ADFB-7F6811D1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2003-04-10T14:47:00Z</cp:lastPrinted>
  <dcterms:created xsi:type="dcterms:W3CDTF">2022-09-01T21:31:00Z</dcterms:created>
  <dcterms:modified xsi:type="dcterms:W3CDTF">2022-09-01T21:31:00Z</dcterms:modified>
</cp:coreProperties>
</file>