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9370D">
            <w:pPr>
              <w:pStyle w:val="Heading2"/>
              <w:rPr>
                <w:rFonts w:ascii="Arial" w:hAnsi="Arial"/>
              </w:rPr>
            </w:pPr>
            <w:r>
              <w:rPr>
                <w:rFonts w:ascii="Arial" w:hAnsi="Arial"/>
              </w:rPr>
              <w:t>CEYTAŞ MADENCİLİK TEKSTİL SANAYİ VE TİCARET A.Ş.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MUHTELİF NO’LARDA PAMUKLU, SENTETİK (AKRİLİK, VİSKON POLY) VE BUNLARIN KARIŞIMI OLAN İPLİKLER CAM, MADEN VE MADEN TÜREVLERİNDEN HER TÜRLÜ 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ELYAF ÜRETİMİNDE BULUNMAK VE HER TÜRLÜ MADEN, MADEN CEVHERİ VE BUNLARIN TÜREVLERİNİ ARAMAK, ÇIKARMAK, İŞLEMEK.</w:t>
            </w:r>
          </w:p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snapToGrid w:val="0"/>
                <w:sz w:val="24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TO PRODUCE VARIOUS COUNTS OF YARNS SPUN FROM 100 % COTTON, ACRYLIC, POLYESTER VİSCOSE FİBRES AND FROM THEIR BLENDS. </w:t>
            </w:r>
          </w:p>
          <w:p w:rsidR="00000000" w:rsidRDefault="0049370D">
            <w:pP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TO P</w:t>
            </w: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RODUCE ALL KIND OF FİBERS FROM GLASS, MİNE AND OTHERS TO MİNE AND PROCESS ALL KIND OF MİNE AND MİNE ORE.</w:t>
            </w:r>
          </w:p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PK.  30  01921 CEYHAN / 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COŞKUN DUYAK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NEDİM ŞENER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</w:t>
            </w:r>
            <w:r>
              <w:rPr>
                <w:rFonts w:ascii="Arial" w:hAnsi="Arial"/>
                <w:b/>
                <w:color w:val="000000"/>
                <w:sz w:val="16"/>
              </w:rPr>
              <w:t>oard of Directors)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NALAN ERKARAKAŞ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ALİ COŞKUN DUYAK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 xml:space="preserve">TUNCAY KARAYTUĞ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MEHMET NURİ TOPRAK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0 322 613 99 10  ( 5 HAT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0 322 613 99 00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01.07.2002 – 30.06.2004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TEKSTİL İŞÇİLERİ SENDİKASI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Labor Union) 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TEXTILE LABOR UNION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28.800.000.000.000.-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19.200.000.000.000.-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BÖLGESEL PAZAR (15.04.2003 ’ DEN İTİBAREN ULUSAL PAZAR)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eastAsia="en-US"/>
              </w:rPr>
              <w:t>REGİONAL MARKET (AT NATİONAL MARKET AFTER 15.04.2003)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</w:t>
            </w:r>
            <w:r>
              <w:rPr>
                <w:rFonts w:ascii="Arial" w:hAnsi="Arial"/>
                <w:i/>
                <w:sz w:val="16"/>
              </w:rPr>
              <w:t>e last two years are  shown below.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843"/>
        <w:gridCol w:w="15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493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  <w:tc>
          <w:tcPr>
            <w:tcW w:w="1559" w:type="dxa"/>
          </w:tcPr>
          <w:p w:rsidR="00000000" w:rsidRDefault="00493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493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  <w:tc>
          <w:tcPr>
            <w:tcW w:w="1559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</w:t>
            </w:r>
          </w:p>
        </w:tc>
        <w:tc>
          <w:tcPr>
            <w:tcW w:w="1843" w:type="dxa"/>
          </w:tcPr>
          <w:p w:rsidR="00000000" w:rsidRDefault="004937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6.408</w:t>
            </w:r>
          </w:p>
        </w:tc>
        <w:tc>
          <w:tcPr>
            <w:tcW w:w="1559" w:type="dxa"/>
          </w:tcPr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843" w:type="dxa"/>
          </w:tcPr>
          <w:p w:rsidR="00000000" w:rsidRDefault="004937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>2.257</w:t>
            </w:r>
          </w:p>
        </w:tc>
        <w:tc>
          <w:tcPr>
            <w:tcW w:w="1559" w:type="dxa"/>
          </w:tcPr>
          <w:p w:rsidR="00000000" w:rsidRDefault="0049370D">
            <w:pPr>
              <w:ind w:right="60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>27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49370D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</w:t>
            </w:r>
            <w:r>
              <w:rPr>
                <w:rFonts w:ascii="Arial" w:hAnsi="Arial"/>
                <w:sz w:val="16"/>
              </w:rPr>
              <w:t>e satış miktarı bilgileri aşağıda gösterilmiştir.</w:t>
            </w:r>
          </w:p>
        </w:tc>
        <w:tc>
          <w:tcPr>
            <w:tcW w:w="1134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49370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2307" w:type="dxa"/>
          </w:tcPr>
          <w:p w:rsidR="00000000" w:rsidRDefault="0049370D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6.460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49370D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2.541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</w:t>
            </w:r>
            <w:r>
              <w:rPr>
                <w:rFonts w:ascii="Arial" w:hAnsi="Arial"/>
                <w:sz w:val="16"/>
              </w:rPr>
              <w:t>halat ve ihracat rakamları aşağıda gösterilmiştir.</w:t>
            </w:r>
          </w:p>
        </w:tc>
        <w:tc>
          <w:tcPr>
            <w:tcW w:w="1134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268"/>
        <w:gridCol w:w="1984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9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49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49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410" w:type="dxa"/>
          </w:tcPr>
          <w:p w:rsidR="00000000" w:rsidRDefault="0049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on In Costs(%)</w:t>
            </w:r>
          </w:p>
        </w:tc>
        <w:tc>
          <w:tcPr>
            <w:tcW w:w="1984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410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669" w:type="dxa"/>
          </w:tcPr>
          <w:p w:rsidR="00000000" w:rsidRDefault="0049370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1.388.767.374.770</w:t>
            </w:r>
          </w:p>
          <w:p w:rsidR="00000000" w:rsidRDefault="0049370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827.521</w:t>
            </w:r>
          </w:p>
        </w:tc>
        <w:tc>
          <w:tcPr>
            <w:tcW w:w="2268" w:type="dxa"/>
          </w:tcPr>
          <w:p w:rsidR="00000000" w:rsidRDefault="0049370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-</w:t>
            </w:r>
          </w:p>
        </w:tc>
        <w:tc>
          <w:tcPr>
            <w:tcW w:w="1984" w:type="dxa"/>
          </w:tcPr>
          <w:p w:rsidR="00000000" w:rsidRDefault="0049370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  <w:p w:rsidR="00000000" w:rsidRDefault="0049370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</w:t>
            </w:r>
          </w:p>
        </w:tc>
        <w:tc>
          <w:tcPr>
            <w:tcW w:w="2410" w:type="dxa"/>
          </w:tcPr>
          <w:p w:rsidR="00000000" w:rsidRDefault="0049370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49370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669" w:type="dxa"/>
          </w:tcPr>
          <w:p w:rsidR="00000000" w:rsidRDefault="0049370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26.616.732.758</w:t>
            </w:r>
          </w:p>
          <w:p w:rsidR="00000000" w:rsidRDefault="0049370D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19.000</w:t>
            </w:r>
          </w:p>
        </w:tc>
        <w:tc>
          <w:tcPr>
            <w:tcW w:w="2268" w:type="dxa"/>
          </w:tcPr>
          <w:p w:rsidR="00000000" w:rsidRDefault="0049370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-</w:t>
            </w:r>
          </w:p>
        </w:tc>
        <w:tc>
          <w:tcPr>
            <w:tcW w:w="1984" w:type="dxa"/>
          </w:tcPr>
          <w:p w:rsidR="00000000" w:rsidRDefault="0049370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410" w:type="dxa"/>
          </w:tcPr>
          <w:p w:rsidR="00000000" w:rsidRDefault="0049370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49370D">
      <w:pPr>
        <w:rPr>
          <w:rFonts w:ascii="Arial" w:hAnsi="Arial"/>
          <w:b/>
          <w:sz w:val="16"/>
          <w:u w:val="single"/>
        </w:rPr>
      </w:pPr>
    </w:p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</w:t>
            </w:r>
            <w:r>
              <w:rPr>
                <w:rFonts w:ascii="Arial" w:hAnsi="Arial"/>
                <w:sz w:val="16"/>
              </w:rPr>
              <w:t>da verilmektedir.</w:t>
            </w:r>
          </w:p>
        </w:tc>
        <w:tc>
          <w:tcPr>
            <w:tcW w:w="1212" w:type="dxa"/>
          </w:tcPr>
          <w:p w:rsidR="00000000" w:rsidRDefault="0049370D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49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370D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49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49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49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37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tments</w:t>
            </w:r>
          </w:p>
        </w:tc>
        <w:tc>
          <w:tcPr>
            <w:tcW w:w="2038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37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--------</w:t>
            </w:r>
          </w:p>
        </w:tc>
        <w:tc>
          <w:tcPr>
            <w:tcW w:w="2043" w:type="dxa"/>
          </w:tcPr>
          <w:p w:rsidR="00000000" w:rsidRDefault="0049370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49370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  <w:tc>
          <w:tcPr>
            <w:tcW w:w="1843" w:type="dxa"/>
          </w:tcPr>
          <w:p w:rsidR="00000000" w:rsidRDefault="0049370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370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9370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9370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9370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49370D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</w:tcPr>
          <w:p w:rsidR="00000000" w:rsidRDefault="0049370D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</w:tcPr>
          <w:p w:rsidR="00000000" w:rsidRDefault="0049370D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49370D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</w:t>
            </w:r>
            <w:r>
              <w:rPr>
                <w:rFonts w:ascii="Arial" w:hAnsi="Arial"/>
                <w:i/>
                <w:sz w:val="16"/>
              </w:rPr>
              <w:t>ts portion in their  equity capital are shown below.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370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49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49370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370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49370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Park Termik Elektrik San. Ve Tic. A.Ş.                            </w:t>
            </w:r>
          </w:p>
        </w:tc>
        <w:tc>
          <w:tcPr>
            <w:tcW w:w="2299" w:type="dxa"/>
          </w:tcPr>
          <w:p w:rsidR="00000000" w:rsidRDefault="004937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10.000.000.000.000 TL   </w:t>
            </w:r>
          </w:p>
        </w:tc>
        <w:tc>
          <w:tcPr>
            <w:tcW w:w="2343" w:type="dxa"/>
          </w:tcPr>
          <w:p w:rsidR="00000000" w:rsidRDefault="0049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Ankara Enerji Üretim A.Ş.  </w:t>
            </w:r>
          </w:p>
        </w:tc>
        <w:tc>
          <w:tcPr>
            <w:tcW w:w="2299" w:type="dxa"/>
          </w:tcPr>
          <w:p w:rsidR="00000000" w:rsidRDefault="0049370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15.000.000.000.000 TL</w:t>
            </w:r>
          </w:p>
        </w:tc>
        <w:tc>
          <w:tcPr>
            <w:tcW w:w="2343" w:type="dxa"/>
          </w:tcPr>
          <w:p w:rsidR="00000000" w:rsidRDefault="0049370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% 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</w:tcPr>
          <w:p w:rsidR="00000000" w:rsidRDefault="0049370D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3" w:type="dxa"/>
          </w:tcPr>
          <w:p w:rsidR="00000000" w:rsidRDefault="0049370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9370D">
      <w:pPr>
        <w:rPr>
          <w:rFonts w:ascii="Arial" w:hAnsi="Arial"/>
          <w:color w:val="FF0000"/>
          <w:sz w:val="16"/>
        </w:rPr>
      </w:pPr>
    </w:p>
    <w:p w:rsidR="00000000" w:rsidRDefault="0049370D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rPr>
          <w:rFonts w:ascii="Arial" w:hAnsi="Arial"/>
          <w:sz w:val="16"/>
        </w:rPr>
      </w:pPr>
    </w:p>
    <w:p w:rsidR="00000000" w:rsidRDefault="004937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9370D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</w:t>
            </w:r>
            <w:r>
              <w:rPr>
                <w:rFonts w:ascii="Arial" w:hAnsi="Arial"/>
                <w:sz w:val="16"/>
              </w:rPr>
              <w:t xml:space="preserve">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9370D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than %10 of total capital or voting rights</w:t>
            </w:r>
          </w:p>
        </w:tc>
      </w:tr>
    </w:tbl>
    <w:p w:rsidR="00000000" w:rsidRDefault="0049370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9370D">
            <w:pPr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Ortak Ünvanı</w:t>
            </w:r>
          </w:p>
        </w:tc>
        <w:tc>
          <w:tcPr>
            <w:tcW w:w="2694" w:type="dxa"/>
          </w:tcPr>
          <w:p w:rsidR="00000000" w:rsidRDefault="0049370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Tutar (Milyon TL)</w:t>
            </w:r>
          </w:p>
        </w:tc>
        <w:tc>
          <w:tcPr>
            <w:tcW w:w="2126" w:type="dxa"/>
          </w:tcPr>
          <w:p w:rsidR="00000000" w:rsidRDefault="0049370D">
            <w:pPr>
              <w:jc w:val="both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eastAsia="en-US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eastAsia="en-US"/>
              </w:rPr>
              <w:t>Share Holders</w:t>
            </w:r>
          </w:p>
        </w:tc>
        <w:tc>
          <w:tcPr>
            <w:tcW w:w="2694" w:type="dxa"/>
          </w:tcPr>
          <w:p w:rsidR="00000000" w:rsidRDefault="0049370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eastAsia="en-US"/>
              </w:rPr>
              <w:t>Amount (TL Million</w:t>
            </w: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eastAsia="en-US"/>
              </w:rPr>
              <w:t>)</w:t>
            </w:r>
          </w:p>
        </w:tc>
        <w:tc>
          <w:tcPr>
            <w:tcW w:w="2126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napToGrid w:val="0"/>
                <w:color w:val="000000"/>
                <w:sz w:val="16"/>
                <w:u w:val="single"/>
                <w:lang w:eastAsia="en-US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TURGAY CİNER </w:t>
            </w:r>
          </w:p>
        </w:tc>
        <w:tc>
          <w:tcPr>
            <w:tcW w:w="2694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6.011.840</w:t>
            </w:r>
          </w:p>
        </w:tc>
        <w:tc>
          <w:tcPr>
            <w:tcW w:w="2126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31.31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PENYELÜKS TEKSTİL SAN. VE TİC. A.Ş.   </w:t>
            </w:r>
          </w:p>
        </w:tc>
        <w:tc>
          <w:tcPr>
            <w:tcW w:w="2694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4.110.341</w:t>
            </w:r>
          </w:p>
        </w:tc>
        <w:tc>
          <w:tcPr>
            <w:tcW w:w="2126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21.41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9370D">
            <w:pPr>
              <w:rPr>
                <w:rFonts w:ascii="Arial" w:hAnsi="Arial"/>
                <w:snapToGrid w:val="0"/>
                <w:sz w:val="24"/>
                <w:lang w:eastAsia="en-US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PARK ENERJİ EKİPMANLARI MADENCİLİK </w:t>
            </w:r>
          </w:p>
          <w:p w:rsidR="00000000" w:rsidRDefault="0049370D">
            <w:pPr>
              <w:tabs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SAN. VE TİC. A.Ş. </w:t>
            </w:r>
          </w:p>
        </w:tc>
        <w:tc>
          <w:tcPr>
            <w:tcW w:w="2694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1.828.113</w:t>
            </w:r>
          </w:p>
        </w:tc>
        <w:tc>
          <w:tcPr>
            <w:tcW w:w="2126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9.52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PARK HOLDİNG A.Ş.                           </w:t>
            </w:r>
          </w:p>
        </w:tc>
        <w:tc>
          <w:tcPr>
            <w:tcW w:w="2694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59.192</w:t>
            </w:r>
          </w:p>
        </w:tc>
        <w:tc>
          <w:tcPr>
            <w:tcW w:w="2126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0.31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DİĞER ORTAKLAR (T</w:t>
            </w:r>
            <w:r>
              <w:rPr>
                <w:rFonts w:ascii="Arial" w:hAnsi="Arial"/>
                <w:snapToGrid w:val="0"/>
                <w:sz w:val="16"/>
                <w:lang w:eastAsia="en-US"/>
              </w:rPr>
              <w:t xml:space="preserve">AHMİNİ 50 BİN KİŞİ)      </w:t>
            </w:r>
          </w:p>
        </w:tc>
        <w:tc>
          <w:tcPr>
            <w:tcW w:w="2694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7.190.514</w:t>
            </w:r>
          </w:p>
        </w:tc>
        <w:tc>
          <w:tcPr>
            <w:tcW w:w="2126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napToGrid w:val="0"/>
                <w:sz w:val="16"/>
                <w:lang w:eastAsia="en-US"/>
              </w:rPr>
              <w:t>37.45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</w:t>
            </w:r>
          </w:p>
        </w:tc>
        <w:tc>
          <w:tcPr>
            <w:tcW w:w="2694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napToGrid w:val="0"/>
                <w:sz w:val="16"/>
                <w:lang w:eastAsia="en-US"/>
              </w:rPr>
              <w:t xml:space="preserve">19.200.000            </w:t>
            </w:r>
          </w:p>
        </w:tc>
        <w:tc>
          <w:tcPr>
            <w:tcW w:w="2126" w:type="dxa"/>
          </w:tcPr>
          <w:p w:rsidR="00000000" w:rsidRDefault="0049370D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49370D">
      <w:pPr>
        <w:rPr>
          <w:rFonts w:ascii="Arial" w:hAnsi="Arial"/>
          <w:snapToGrid w:val="0"/>
          <w:sz w:val="24"/>
          <w:lang w:eastAsia="en-US"/>
        </w:rPr>
      </w:pPr>
    </w:p>
    <w:p w:rsidR="00000000" w:rsidRDefault="0049370D">
      <w:pPr>
        <w:rPr>
          <w:rFonts w:ascii="Arial" w:hAnsi="Arial"/>
          <w:snapToGrid w:val="0"/>
          <w:sz w:val="24"/>
          <w:lang w:eastAsia="en-US"/>
        </w:rPr>
      </w:pPr>
      <w:r>
        <w:rPr>
          <w:rFonts w:ascii="Arial" w:hAnsi="Arial"/>
          <w:snapToGrid w:val="0"/>
          <w:sz w:val="16"/>
          <w:lang w:eastAsia="en-US"/>
        </w:rPr>
        <w:t xml:space="preserve">          </w:t>
      </w:r>
    </w:p>
    <w:p w:rsidR="00000000" w:rsidRDefault="0049370D">
      <w:r>
        <w:rPr>
          <w:snapToGrid w:val="0"/>
          <w:lang w:eastAsia="en-US"/>
        </w:rPr>
        <w:t xml:space="preserve">          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370D"/>
    <w:rsid w:val="0049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38EDE-021E-45FD-88A4-6DA5D2E8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2002-04-04T14:34:00Z</cp:lastPrinted>
  <dcterms:created xsi:type="dcterms:W3CDTF">2022-09-01T21:31:00Z</dcterms:created>
  <dcterms:modified xsi:type="dcterms:W3CDTF">2022-09-01T21:31:00Z</dcterms:modified>
</cp:coreProperties>
</file>