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26A5D">
            <w:pPr>
              <w:pStyle w:val="Heading2"/>
            </w:pPr>
            <w:r>
              <w:t>GARANTİ GAYRİMENKUL YATIRIM ORTAKLIĞI A.Ş.</w:t>
            </w:r>
          </w:p>
        </w:tc>
      </w:tr>
    </w:tbl>
    <w:p w:rsidR="00000000" w:rsidRDefault="00B26A5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26A5D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30/07/1997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26A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26A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GAYRİMENKUL VE GAYRİMENKULE DAYALI SERMAYE PİYASASI ARAÇLARINA, GAYRİMENKUL PROJELERİNE, GAYRİMENKULE DAYALI HAKLARA VE SERMAYE PİYASASI </w:t>
            </w:r>
            <w:r>
              <w:rPr>
                <w:rFonts w:ascii="Arial" w:hAnsi="Arial"/>
                <w:color w:val="000000"/>
                <w:sz w:val="16"/>
              </w:rPr>
              <w:t>ARAÇLARINA YATIRIM YAPILMASI.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26A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26A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CADDESİ NO: 65 DOĞUŞ GRUBU BİNALARI A BLOK KAT 1 MASLAK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26A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26A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KÜRŞAT TUNCEL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26A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26A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HÜSNÜ AKHAN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</w:t>
            </w:r>
            <w:r>
              <w:rPr>
                <w:rFonts w:ascii="Arial" w:hAnsi="Arial"/>
                <w:b/>
                <w:color w:val="000000"/>
                <w:sz w:val="16"/>
              </w:rPr>
              <w:t>rectors)</w:t>
            </w:r>
          </w:p>
        </w:tc>
        <w:tc>
          <w:tcPr>
            <w:tcW w:w="142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26A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RIZA SARIKAYA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26A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ERGUN ÖZEN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26A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CAN VERDİ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26A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KUBİLAY CİNEMRE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26A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ŞERİF HALUK DOĞANÇAY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26A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M.OGAN KAR</w:t>
            </w:r>
            <w:r>
              <w:rPr>
                <w:rFonts w:ascii="Arial" w:hAnsi="Arial"/>
                <w:color w:val="000000"/>
                <w:sz w:val="16"/>
              </w:rPr>
              <w:t>ATUNA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26A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26A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335 32 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26A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26A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335 30 90-91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26A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26A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26A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26A5D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500.000.000.000.000.-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26A5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</w:t>
            </w:r>
            <w:r>
              <w:rPr>
                <w:rFonts w:ascii="Arial" w:hAnsi="Arial"/>
                <w:b/>
                <w:color w:val="000000"/>
                <w:sz w:val="16"/>
              </w:rPr>
              <w:t>KARILMIŞ SERMAYE</w:t>
            </w:r>
          </w:p>
        </w:tc>
        <w:tc>
          <w:tcPr>
            <w:tcW w:w="142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26A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23.250.000.000.000.-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26A5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B26A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 (NATIONAL MARKET)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B26A5D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26A5D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B26A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31.12.2002 tarihi itibariyle portföyünde bulunan menkul kıymetlerin  sektörel dağılımı aşağıda verilmiştir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047" w:type="dxa"/>
          </w:tcPr>
          <w:p w:rsidR="00000000" w:rsidRDefault="00B26A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B26A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31.12.2002 is shown below.</w:t>
            </w:r>
          </w:p>
        </w:tc>
      </w:tr>
    </w:tbl>
    <w:p w:rsidR="00000000" w:rsidRDefault="00B26A5D">
      <w:pPr>
        <w:rPr>
          <w:rFonts w:ascii="Arial" w:hAnsi="Arial"/>
          <w:color w:val="FF0000"/>
          <w:sz w:val="16"/>
        </w:rPr>
      </w:pPr>
    </w:p>
    <w:p w:rsidR="00000000" w:rsidRDefault="00B26A5D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br w:type="page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275"/>
        <w:gridCol w:w="802"/>
        <w:gridCol w:w="1134"/>
        <w:gridCol w:w="1134"/>
        <w:gridCol w:w="530"/>
        <w:gridCol w:w="463"/>
        <w:gridCol w:w="637"/>
        <w:gridCol w:w="71"/>
        <w:gridCol w:w="993"/>
        <w:gridCol w:w="832"/>
        <w:gridCol w:w="1276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object w:dxaOrig="10866" w:dyaOrig="222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11.25pt;margin-top:5.25pt;width:108.75pt;height:31.5pt;z-index:251657216;mso-position-horizontal:absolute;mso-position-horizontal-relative:text;mso-position-vertical:absolute;mso-position-vertical-relative:text" o:allowincell="f">
                  <v:imagedata r:id="rId4" o:title=""/>
                </v:shape>
                <o:OLEObject Type="Embed" ProgID="MSPhotoEd.3" ShapeID="_x0000_s1027" DrawAspect="Content" ObjectID="_1723558777" r:id="rId5"/>
              </w:object>
            </w:r>
          </w:p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  <w:p w:rsidR="00000000" w:rsidRDefault="00B26A5D">
            <w:pPr>
              <w:rPr>
                <w:rFonts w:ascii="Arial" w:hAnsi="Arial"/>
                <w:sz w:val="16"/>
              </w:rPr>
            </w:pPr>
          </w:p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604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B26A5D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GARANTİ GAYRİMENKUL YATIRIM ORTAKLIĞI A.Ş.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604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B26A5D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31.12.2002 TARİHLİ PORTFÖY TABLOSU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Milyon TL 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,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5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/>
            <w:vAlign w:val="bottom"/>
          </w:tcPr>
          <w:p w:rsidR="00000000" w:rsidRDefault="00B26A5D">
            <w:pPr>
              <w:jc w:val="center"/>
              <w:rPr>
                <w:rFonts w:ascii="Arial" w:eastAsia="Arial Unicode MS" w:hAnsi="Arial"/>
                <w:b/>
                <w:color w:val="FFFFFF"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 xml:space="preserve">PORTFÖYDE YERALAN               </w:t>
            </w:r>
            <w:r>
              <w:rPr>
                <w:rFonts w:ascii="Arial" w:hAnsi="Arial"/>
                <w:b/>
                <w:color w:val="FFFFFF"/>
                <w:sz w:val="16"/>
              </w:rPr>
              <w:t xml:space="preserve">                    VARLIKLARIN TÜRÜ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/>
            <w:vAlign w:val="bottom"/>
          </w:tcPr>
          <w:p w:rsidR="00000000" w:rsidRDefault="00B26A5D">
            <w:pPr>
              <w:jc w:val="center"/>
              <w:rPr>
                <w:rFonts w:ascii="Arial" w:eastAsia="Arial Unicode MS" w:hAnsi="Arial"/>
                <w:b/>
                <w:color w:val="FFFFFF"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>LOKASYON            BİLGİLERİ</w:t>
            </w:r>
          </w:p>
        </w:tc>
        <w:tc>
          <w:tcPr>
            <w:tcW w:w="8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/>
            <w:vAlign w:val="bottom"/>
          </w:tcPr>
          <w:p w:rsidR="00000000" w:rsidRDefault="00B26A5D">
            <w:pPr>
              <w:jc w:val="center"/>
              <w:rPr>
                <w:rFonts w:ascii="Arial" w:eastAsia="Arial Unicode MS" w:hAnsi="Arial"/>
                <w:b/>
                <w:color w:val="FFFFFF"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>ALAN            BİLGİLERİ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/>
            <w:vAlign w:val="bottom"/>
          </w:tcPr>
          <w:p w:rsidR="00000000" w:rsidRDefault="00B26A5D">
            <w:pPr>
              <w:jc w:val="center"/>
              <w:rPr>
                <w:rFonts w:ascii="Arial" w:eastAsia="Arial Unicode MS" w:hAnsi="Arial"/>
                <w:b/>
                <w:color w:val="FFFFFF"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 xml:space="preserve">ALIŞ             MALİYETİ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/>
            <w:vAlign w:val="bottom"/>
          </w:tcPr>
          <w:p w:rsidR="00000000" w:rsidRDefault="00B26A5D">
            <w:pPr>
              <w:jc w:val="center"/>
              <w:rPr>
                <w:rFonts w:ascii="Arial" w:eastAsia="Arial Unicode MS" w:hAnsi="Arial"/>
                <w:b/>
                <w:color w:val="FFFFFF"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>EKSPERTİZ RAPOR TARİHİ</w:t>
            </w:r>
          </w:p>
        </w:tc>
        <w:tc>
          <w:tcPr>
            <w:tcW w:w="9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/>
            <w:vAlign w:val="bottom"/>
          </w:tcPr>
          <w:p w:rsidR="00000000" w:rsidRDefault="00B26A5D">
            <w:pPr>
              <w:jc w:val="center"/>
              <w:rPr>
                <w:rFonts w:ascii="Arial" w:eastAsia="Arial Unicode MS" w:hAnsi="Arial"/>
                <w:b/>
                <w:color w:val="FFFFFF"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>( I )                               EKSPERTİZ / MENKUL KIYMET RAYİÇ DEĞERİ</w:t>
            </w:r>
          </w:p>
        </w:tc>
        <w:tc>
          <w:tcPr>
            <w:tcW w:w="7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/>
            <w:vAlign w:val="bottom"/>
          </w:tcPr>
          <w:p w:rsidR="00000000" w:rsidRDefault="00B26A5D">
            <w:pPr>
              <w:jc w:val="center"/>
              <w:rPr>
                <w:rFonts w:ascii="Arial" w:eastAsia="Arial Unicode MS" w:hAnsi="Arial"/>
                <w:b/>
                <w:color w:val="FFFFFF"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 xml:space="preserve">( II )                                </w:t>
            </w:r>
            <w:r>
              <w:rPr>
                <w:rFonts w:ascii="Arial" w:hAnsi="Arial"/>
                <w:b/>
                <w:color w:val="FFFFFF"/>
                <w:sz w:val="16"/>
              </w:rPr>
              <w:t xml:space="preserve"> BAKİYE                 BORÇ 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/>
            <w:vAlign w:val="bottom"/>
          </w:tcPr>
          <w:p w:rsidR="00000000" w:rsidRDefault="00B26A5D">
            <w:pPr>
              <w:jc w:val="center"/>
              <w:rPr>
                <w:rFonts w:ascii="Arial" w:eastAsia="Arial Unicode MS" w:hAnsi="Arial"/>
                <w:b/>
                <w:color w:val="FFFFFF"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 xml:space="preserve">( III=I-II )                        PORTFÖY               DEĞERİ </w:t>
            </w:r>
          </w:p>
        </w:tc>
        <w:tc>
          <w:tcPr>
            <w:tcW w:w="8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/>
            <w:vAlign w:val="bottom"/>
          </w:tcPr>
          <w:p w:rsidR="00000000" w:rsidRDefault="00B26A5D">
            <w:pPr>
              <w:jc w:val="center"/>
              <w:rPr>
                <w:rFonts w:ascii="Arial" w:eastAsia="Arial Unicode MS" w:hAnsi="Arial"/>
                <w:b/>
                <w:color w:val="FFFFFF"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 xml:space="preserve">( % )                     GRUP İÇİ                ORANLAR   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/>
            <w:vAlign w:val="bottom"/>
          </w:tcPr>
          <w:p w:rsidR="00000000" w:rsidRDefault="00B26A5D">
            <w:pPr>
              <w:jc w:val="center"/>
              <w:rPr>
                <w:rFonts w:ascii="Arial" w:eastAsia="Arial Unicode MS" w:hAnsi="Arial"/>
                <w:b/>
                <w:color w:val="FFFFFF"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>( % )                               VARLIK GRUBUNUN PORTFÖYDEKİ ORANI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5"/>
        </w:trPr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9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7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8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5"/>
        </w:trPr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9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7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8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5"/>
        </w:trPr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9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7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8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5"/>
        </w:trPr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8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99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7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8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   GAYRİMENKULLER                                   (1)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17,587,819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57,490,000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57,490,000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79.65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Arsalar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Araziler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Binalar - Konutlar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Taksim                   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1.350m2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995,625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30.10.2002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3,875,000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3,875,000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6.74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Şişli                      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1.160m2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463,150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30.10.2002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2,100,000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2,100,000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Levent                     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374m2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297,950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30.10.2002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1,420,000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1,420,000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Antalya 2000 plaza  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</w:t>
            </w:r>
            <w:r>
              <w:rPr>
                <w:rFonts w:ascii="Arial" w:hAnsi="Arial"/>
                <w:sz w:val="16"/>
              </w:rPr>
              <w:t>.550m2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2,331,094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25.10.2002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4,440,000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4,440,000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(56 adet bağımsız bölüm )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Gayrimenkul Projeleri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Maslak Toplam 40.000 m² Kapalı alana sahip Ticaret Merkezi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44.121m2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13,500,000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25.12.2002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45,655,000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45,655,000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79.41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Sınırlı Ayni  Haklar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   MÜLKİYETE  GEÇİRİLMEMİŞ VARLIKLAR   (2)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Gayrimenkul proje Avansları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Diğer Gayrimenkuller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C   MENKUL  KIYMETLER     </w:t>
            </w:r>
            <w:r>
              <w:rPr>
                <w:rFonts w:ascii="Arial" w:hAnsi="Arial"/>
                <w:b/>
                <w:sz w:val="16"/>
              </w:rPr>
              <w:t xml:space="preserve">        (3)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14,385,348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14,689,388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14,689,388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20.35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GM  Sertifikası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Vadeli Mevduat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12,116,000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12,401,064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12,401,064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84.42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Hisse  Senedi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Hazine Bonosu-Devlet Tahvili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2,269,348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2,288,324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2,288,324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Ters  Repo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D=A+B+C TOPLAM PORTFÖY DEĞERİ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31,973,167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72,179,388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72,179,388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DİPNOT  AÇIKLAMALARI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D=A+B+C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  PORTFÖY   DEĞERİ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72,179,388</w:t>
            </w:r>
          </w:p>
        </w:tc>
        <w:tc>
          <w:tcPr>
            <w:tcW w:w="83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(1) Ekspertiz şirketince onaylı yasal ekspertiz raporunda yer alan (TL)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E</w:t>
            </w:r>
          </w:p>
        </w:tc>
        <w:tc>
          <w:tcPr>
            <w:tcW w:w="1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Hazır Değerler</w:t>
            </w:r>
          </w:p>
        </w:tc>
        <w:tc>
          <w:tcPr>
            <w:tcW w:w="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1,328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değeridir. Değerlemenin döviz cinsinden değeri üzerinden cari kurla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F</w:t>
            </w:r>
          </w:p>
        </w:tc>
        <w:tc>
          <w:tcPr>
            <w:tcW w:w="1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Alacaklar</w:t>
            </w:r>
          </w:p>
        </w:tc>
        <w:tc>
          <w:tcPr>
            <w:tcW w:w="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3,277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değerleme yapılamaz.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>
              <w:rPr>
                <w:rFonts w:ascii="Arial" w:hAnsi="Arial"/>
                <w:sz w:val="16"/>
              </w:rPr>
              <w:t xml:space="preserve">     G</w:t>
            </w: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Borçlar</w:t>
            </w:r>
          </w:p>
        </w:tc>
        <w:tc>
          <w:tcPr>
            <w:tcW w:w="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46,656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(2) Ortaklık mülkiyetine geçirilmemiş gayrimenkuller ile gayrimenkul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H</w:t>
            </w: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Diğer  Aktifler</w:t>
            </w:r>
          </w:p>
        </w:tc>
        <w:tc>
          <w:tcPr>
            <w:tcW w:w="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816,726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projeleri için portföy değeri sütununa  sadece tablonun  hazırlanış tarihine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I=D+(E+F-G+H)     </w:t>
            </w:r>
          </w:p>
        </w:tc>
        <w:tc>
          <w:tcPr>
            <w:tcW w:w="1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AK</w:t>
            </w:r>
            <w:r>
              <w:rPr>
                <w:rFonts w:ascii="Arial" w:hAnsi="Arial"/>
                <w:b/>
                <w:sz w:val="16"/>
              </w:rPr>
              <w:t>TİF DEĞER</w:t>
            </w:r>
          </w:p>
        </w:tc>
        <w:tc>
          <w:tcPr>
            <w:tcW w:w="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72,954,063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kadar yapılan ödemelerin toplamı yazılır.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J</w:t>
            </w:r>
          </w:p>
        </w:tc>
        <w:tc>
          <w:tcPr>
            <w:tcW w:w="1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Pay  Sayısı </w:t>
            </w:r>
          </w:p>
        </w:tc>
        <w:tc>
          <w:tcPr>
            <w:tcW w:w="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23,250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(3) Borsada işlem gören varlıklar değerleme gününde borsada oluşan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K=I/J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PAYBAŞI NET AKTİF DEĞERİ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3,138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ağırlıklı ortalama fiy</w:t>
            </w:r>
            <w:r>
              <w:rPr>
                <w:rFonts w:ascii="Arial" w:hAnsi="Arial"/>
                <w:sz w:val="16"/>
              </w:rPr>
              <w:t>at veya oranlarla değerlenir. İki seans uygulanan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borsalarda değerleme fiyatı; ikinci seans ağırlıklı ortalama fiyatı veya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27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 BİLGİLER</w:t>
            </w:r>
          </w:p>
        </w:tc>
        <w:tc>
          <w:tcPr>
            <w:tcW w:w="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oranıdır. Değerleri bu şekilde belirlenemeyen borçlanma senetleri ve repolar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6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Alınan  Krediler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ise son iş günündeki portföy değerlerine sermaye piyasası aracının iç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276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Rehin, İpotek ve Teminatlar </w:t>
            </w:r>
          </w:p>
        </w:tc>
        <w:tc>
          <w:tcPr>
            <w:tcW w:w="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verim oranı üzerinden günlük bileşik faiz esasına göre hesaplanan faizin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6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Sigorta Tutarları 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5,272,900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anaparaya eklenmesi suretiy</w:t>
            </w:r>
            <w:r>
              <w:rPr>
                <w:rFonts w:ascii="Arial" w:hAnsi="Arial"/>
                <w:sz w:val="16"/>
              </w:rPr>
              <w:t>le değerlenir. Diğerleri,alış değerleri veya en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6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son borsa fiyatları ile değerlenir.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6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29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( * ) Gayrimenkullerin Ekspertiz Değerleri KDV'siz olarak değerlendirilmiştir. </w:t>
            </w:r>
          </w:p>
        </w:tc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6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</w:tr>
    </w:tbl>
    <w:p w:rsidR="00000000" w:rsidRDefault="00B26A5D">
      <w:pPr>
        <w:rPr>
          <w:rFonts w:ascii="Arial" w:hAnsi="Arial"/>
          <w:sz w:val="16"/>
        </w:rPr>
      </w:pPr>
    </w:p>
    <w:p w:rsidR="00000000" w:rsidRDefault="00B26A5D">
      <w:pPr>
        <w:rPr>
          <w:rFonts w:ascii="Arial" w:hAnsi="Arial"/>
          <w:color w:val="FF0000"/>
          <w:sz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7"/>
        <w:gridCol w:w="1198"/>
        <w:gridCol w:w="1197"/>
        <w:gridCol w:w="1097"/>
        <w:gridCol w:w="1203"/>
        <w:gridCol w:w="35"/>
        <w:gridCol w:w="1473"/>
        <w:gridCol w:w="1300"/>
        <w:gridCol w:w="1223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pict>
                <v:shape id="_x0000_s1028" type="#_x0000_t75" style="position:absolute;margin-left:3.75pt;margin-top:5.25pt;width:120.75pt;height:27.75pt;z-index:251658240;mso-position-horizontal:absolute;mso-position-horizontal-relative:text;mso-position-vertical:absolute;mso-position-vertical-relative:text" o:allowincell="f">
                  <v:imagedata r:id="rId6" o:title="REIC 35mm -"/>
                </v:shape>
              </w:pict>
            </w:r>
          </w:p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  <w:p w:rsidR="00000000" w:rsidRDefault="00B26A5D">
            <w:pPr>
              <w:rPr>
                <w:rFonts w:ascii="Arial" w:hAnsi="Arial"/>
                <w:sz w:val="16"/>
              </w:rPr>
            </w:pPr>
          </w:p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/>
        </w:trPr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38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pStyle w:val="xl27"/>
              <w:spacing w:before="0" w:after="0"/>
              <w:rPr>
                <w:rFonts w:eastAsia="Times New Roman"/>
                <w:lang w:val="tr-TR"/>
              </w:rPr>
            </w:pPr>
            <w:r>
              <w:rPr>
                <w:rFonts w:eastAsia="Times New Roman"/>
                <w:lang w:val="tr-TR"/>
              </w:rPr>
              <w:t>GARANTİ REAL ESTATE INVESTMENT COMPANY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31.12.2002 NET ASSET VALUE</w:t>
            </w: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MILLION TL 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/>
        </w:trPr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/>
            <w:vAlign w:val="bottom"/>
          </w:tcPr>
          <w:p w:rsidR="00000000" w:rsidRDefault="00B26A5D">
            <w:pPr>
              <w:jc w:val="center"/>
              <w:rPr>
                <w:rFonts w:ascii="Arial" w:eastAsia="Arial Unicode MS" w:hAnsi="Arial"/>
                <w:b/>
                <w:color w:val="FFFFFF"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 xml:space="preserve">ASSETS </w:t>
            </w:r>
          </w:p>
        </w:tc>
        <w:tc>
          <w:tcPr>
            <w:tcW w:w="11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/>
            <w:vAlign w:val="bottom"/>
          </w:tcPr>
          <w:p w:rsidR="00000000" w:rsidRDefault="00B26A5D">
            <w:pPr>
              <w:jc w:val="center"/>
              <w:rPr>
                <w:rFonts w:ascii="Arial" w:eastAsia="Arial Unicode MS" w:hAnsi="Arial"/>
                <w:b/>
                <w:color w:val="FFFFFF"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>LOCATION</w:t>
            </w:r>
          </w:p>
        </w:tc>
        <w:tc>
          <w:tcPr>
            <w:tcW w:w="11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/>
            <w:vAlign w:val="bottom"/>
          </w:tcPr>
          <w:p w:rsidR="00000000" w:rsidRDefault="00B26A5D">
            <w:pPr>
              <w:jc w:val="center"/>
              <w:rPr>
                <w:rFonts w:ascii="Arial" w:eastAsia="Arial Unicode MS" w:hAnsi="Arial"/>
                <w:b/>
                <w:color w:val="FFFFFF"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>AREA SQM</w:t>
            </w:r>
          </w:p>
        </w:tc>
        <w:tc>
          <w:tcPr>
            <w:tcW w:w="10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/>
            <w:vAlign w:val="bottom"/>
          </w:tcPr>
          <w:p w:rsidR="00000000" w:rsidRDefault="00B26A5D">
            <w:pPr>
              <w:jc w:val="center"/>
              <w:rPr>
                <w:rFonts w:ascii="Arial" w:eastAsia="Arial Unicode MS" w:hAnsi="Arial"/>
                <w:b/>
                <w:color w:val="FFFFFF"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>PURCHASE PRİCE</w:t>
            </w:r>
          </w:p>
        </w:tc>
        <w:tc>
          <w:tcPr>
            <w:tcW w:w="12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/>
            <w:vAlign w:val="bottom"/>
          </w:tcPr>
          <w:p w:rsidR="00000000" w:rsidRDefault="00B26A5D">
            <w:pPr>
              <w:jc w:val="center"/>
              <w:rPr>
                <w:rFonts w:ascii="Arial" w:eastAsia="Arial Unicode MS" w:hAnsi="Arial"/>
                <w:b/>
                <w:color w:val="FFFFFF"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>APPRAISAL DATE</w:t>
            </w:r>
          </w:p>
        </w:tc>
        <w:tc>
          <w:tcPr>
            <w:tcW w:w="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/>
            <w:vAlign w:val="bottom"/>
          </w:tcPr>
          <w:p w:rsidR="00000000" w:rsidRDefault="00B26A5D">
            <w:pPr>
              <w:jc w:val="center"/>
              <w:rPr>
                <w:rFonts w:ascii="Arial" w:eastAsia="Arial Unicode MS" w:hAnsi="Arial"/>
                <w:b/>
                <w:color w:val="FFFFFF"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> </w:t>
            </w:r>
          </w:p>
        </w:tc>
        <w:tc>
          <w:tcPr>
            <w:tcW w:w="14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/>
            <w:vAlign w:val="bottom"/>
          </w:tcPr>
          <w:p w:rsidR="00000000" w:rsidRDefault="00B26A5D">
            <w:pPr>
              <w:jc w:val="center"/>
              <w:rPr>
                <w:rFonts w:ascii="Arial" w:eastAsia="Arial Unicode MS" w:hAnsi="Arial"/>
                <w:b/>
                <w:color w:val="FFFFFF"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>( III=I-II )                       MARKET VALUE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/>
            <w:vAlign w:val="bottom"/>
          </w:tcPr>
          <w:p w:rsidR="00000000" w:rsidRDefault="00B26A5D">
            <w:pPr>
              <w:jc w:val="center"/>
              <w:rPr>
                <w:rFonts w:ascii="Arial" w:eastAsia="Arial Unicode MS" w:hAnsi="Arial"/>
                <w:b/>
                <w:color w:val="FFFFFF"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>( % )                     GROUP PROPORTION</w:t>
            </w:r>
          </w:p>
        </w:tc>
        <w:tc>
          <w:tcPr>
            <w:tcW w:w="12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/>
            <w:vAlign w:val="bottom"/>
          </w:tcPr>
          <w:p w:rsidR="00000000" w:rsidRDefault="00B26A5D">
            <w:pPr>
              <w:jc w:val="center"/>
              <w:rPr>
                <w:rFonts w:ascii="Arial" w:eastAsia="Arial Unicode MS" w:hAnsi="Arial"/>
                <w:b/>
                <w:color w:val="FFFFFF"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>( % )                               TOTAL PROPOR</w:t>
            </w:r>
            <w:r>
              <w:rPr>
                <w:rFonts w:ascii="Arial" w:hAnsi="Arial"/>
                <w:b/>
                <w:color w:val="FFFFFF"/>
                <w:sz w:val="16"/>
              </w:rPr>
              <w:t>TION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4"/>
        </w:trPr>
        <w:tc>
          <w:tcPr>
            <w:tcW w:w="1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1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1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0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2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2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10"/>
        </w:trPr>
        <w:tc>
          <w:tcPr>
            <w:tcW w:w="1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1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1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0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2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2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95"/>
        </w:trPr>
        <w:tc>
          <w:tcPr>
            <w:tcW w:w="1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1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1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0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2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2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4"/>
        </w:trPr>
        <w:tc>
          <w:tcPr>
            <w:tcW w:w="1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1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1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0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2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  <w:tc>
          <w:tcPr>
            <w:tcW w:w="12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B26A5D">
            <w:pPr>
              <w:rPr>
                <w:rFonts w:ascii="Arial" w:eastAsia="Arial Unicode MS" w:hAnsi="Arial"/>
                <w:b/>
                <w:color w:val="FFFFFF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   ESTATES                                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17,587,819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57,490,000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79.65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Lands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  <w:tc>
          <w:tcPr>
            <w:tcW w:w="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0.00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Buil</w:t>
            </w:r>
            <w:r>
              <w:rPr>
                <w:rFonts w:ascii="Arial" w:hAnsi="Arial"/>
                <w:sz w:val="16"/>
              </w:rPr>
              <w:t>dings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Taksim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1,350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995,625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30.10.2002</w:t>
            </w:r>
          </w:p>
        </w:tc>
        <w:tc>
          <w:tcPr>
            <w:tcW w:w="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3,875,000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6.74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11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Şişli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1,160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463,150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30.10.2002</w:t>
            </w:r>
          </w:p>
        </w:tc>
        <w:tc>
          <w:tcPr>
            <w:tcW w:w="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2,100,000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3.65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374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297,950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30.10.2002</w:t>
            </w:r>
          </w:p>
        </w:tc>
        <w:tc>
          <w:tcPr>
            <w:tcW w:w="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1,420,000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2.47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Antalya 2000 Plaza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3,550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2,331,094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25.10.2002</w:t>
            </w:r>
          </w:p>
        </w:tc>
        <w:tc>
          <w:tcPr>
            <w:tcW w:w="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4,440,000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Real Estate Projects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Maslak 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44,121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13,500,000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25.12.2002</w:t>
            </w:r>
          </w:p>
        </w:tc>
        <w:tc>
          <w:tcPr>
            <w:tcW w:w="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45,655,000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79.41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   DON'T INFECT OWNERSHIP ASSETS        (2)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Estate Project Advance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Other Estate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   MARKETABLE SECURITIES               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14,385,348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14,689,388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00.00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20.35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Private Sector Bonds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Marketable Securities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12,116,000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12,401,064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84.42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Share Certificates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Government Bonds and Treasury Bills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2,269,348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2,288,324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Other </w:t>
            </w:r>
            <w:r>
              <w:rPr>
                <w:rFonts w:ascii="Arial" w:hAnsi="Arial"/>
                <w:sz w:val="16"/>
              </w:rPr>
              <w:t>Marketable Securities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hidden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14,385,348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  <w:tc>
          <w:tcPr>
            <w:tcW w:w="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14,689,388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vanish/>
                <w:sz w:val="16"/>
              </w:rPr>
            </w:pPr>
            <w:r>
              <w:rPr>
                <w:rFonts w:ascii="Arial" w:hAnsi="Arial"/>
                <w:vanish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C=A+B TOTAL ASSET VALUE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31,973,167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72,179,388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"/>
        </w:trPr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C=A+B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TOTAL ASSET VALUE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72,179,388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D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Cash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1,328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E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Rece</w:t>
            </w:r>
            <w:r>
              <w:rPr>
                <w:rFonts w:ascii="Arial" w:hAnsi="Arial"/>
                <w:sz w:val="16"/>
              </w:rPr>
              <w:t>ivables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3,277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F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Liabilities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46,656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G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Other Assets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816,612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H=C+(D+E-F+G)    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ASSET VALUE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72,953,949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I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Total Share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23,250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5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J=H/I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000000" w:rsidRDefault="00B26A5D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NAV PER SHARE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000000" w:rsidRDefault="00B26A5D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3,138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b/>
                <w:sz w:val="16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B26A5D">
            <w:pPr>
              <w:rPr>
                <w:rFonts w:ascii="Arial" w:eastAsia="Arial Unicode MS" w:hAnsi="Arial"/>
                <w:sz w:val="16"/>
              </w:rPr>
            </w:pPr>
          </w:p>
        </w:tc>
      </w:tr>
    </w:tbl>
    <w:p w:rsidR="00000000" w:rsidRDefault="00B26A5D">
      <w:pPr>
        <w:rPr>
          <w:rFonts w:ascii="Arial" w:hAnsi="Arial"/>
          <w:sz w:val="16"/>
        </w:rPr>
      </w:pPr>
    </w:p>
    <w:p w:rsidR="00000000" w:rsidRDefault="00B26A5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26A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 w:type="page"/>
            </w: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26A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26A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26A5D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26A5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26A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26A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26A5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26A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26A5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Capital(%)</w:t>
            </w:r>
          </w:p>
        </w:tc>
      </w:tr>
    </w:tbl>
    <w:p w:rsidR="00000000" w:rsidRDefault="00B26A5D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26A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BANKASI A.Ş.</w:t>
            </w:r>
          </w:p>
        </w:tc>
        <w:tc>
          <w:tcPr>
            <w:tcW w:w="1892" w:type="dxa"/>
          </w:tcPr>
          <w:p w:rsidR="00000000" w:rsidRDefault="00B26A5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11.852.757</w:t>
            </w:r>
          </w:p>
        </w:tc>
        <w:tc>
          <w:tcPr>
            <w:tcW w:w="2410" w:type="dxa"/>
          </w:tcPr>
          <w:p w:rsidR="00000000" w:rsidRDefault="00B26A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50.9796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26A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HOLDİNG A.Ş.</w:t>
            </w:r>
          </w:p>
        </w:tc>
        <w:tc>
          <w:tcPr>
            <w:tcW w:w="1892" w:type="dxa"/>
          </w:tcPr>
          <w:p w:rsidR="00000000" w:rsidRDefault="00B26A5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3.557</w:t>
            </w:r>
          </w:p>
        </w:tc>
        <w:tc>
          <w:tcPr>
            <w:tcW w:w="2410" w:type="dxa"/>
          </w:tcPr>
          <w:p w:rsidR="00000000" w:rsidRDefault="00B26A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26A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İNŞAAT VE TİCARET A.Ş.</w:t>
            </w:r>
          </w:p>
        </w:tc>
        <w:tc>
          <w:tcPr>
            <w:tcW w:w="1892" w:type="dxa"/>
          </w:tcPr>
          <w:p w:rsidR="00000000" w:rsidRDefault="00B26A5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1.186</w:t>
            </w:r>
          </w:p>
        </w:tc>
        <w:tc>
          <w:tcPr>
            <w:tcW w:w="2410" w:type="dxa"/>
          </w:tcPr>
          <w:p w:rsidR="00000000" w:rsidRDefault="00B26A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26A5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B26A5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11.392.500</w:t>
            </w:r>
          </w:p>
        </w:tc>
        <w:tc>
          <w:tcPr>
            <w:tcW w:w="2410" w:type="dxa"/>
          </w:tcPr>
          <w:p w:rsidR="00000000" w:rsidRDefault="00B26A5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26A5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26A5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26A5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B26A5D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6A5D"/>
    <w:rsid w:val="00B2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317DBB5-AB31-45C0-B488-A48B2E93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xl25">
    <w:name w:val="xl25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  <w:lang w:val="en-US"/>
    </w:rPr>
  </w:style>
  <w:style w:type="paragraph" w:customStyle="1" w:styleId="xl26">
    <w:name w:val="xl26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27">
    <w:name w:val="xl27"/>
    <w:basedOn w:val="Normal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28">
    <w:name w:val="xl28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  <w:lang w:val="en-US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31">
    <w:name w:val="xl3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36">
    <w:name w:val="xl36"/>
    <w:basedOn w:val="Normal"/>
    <w:pPr>
      <w:pBdr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38">
    <w:name w:val="xl38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41">
    <w:name w:val="xl4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42">
    <w:name w:val="xl42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43">
    <w:name w:val="xl43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44">
    <w:name w:val="xl4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45">
    <w:name w:val="xl45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46">
    <w:name w:val="xl46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47">
    <w:name w:val="xl47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48">
    <w:name w:val="xl48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49">
    <w:name w:val="xl49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50">
    <w:name w:val="xl5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51">
    <w:name w:val="xl51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52">
    <w:name w:val="xl52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53">
    <w:name w:val="xl53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54">
    <w:name w:val="xl54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55">
    <w:name w:val="xl55"/>
    <w:basedOn w:val="Normal"/>
    <w:pPr>
      <w:pBdr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56">
    <w:name w:val="xl56"/>
    <w:basedOn w:val="Normal"/>
    <w:pPr>
      <w:pBdr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57">
    <w:name w:val="xl57"/>
    <w:basedOn w:val="Normal"/>
    <w:pPr>
      <w:pBdr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58">
    <w:name w:val="xl5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59">
    <w:name w:val="xl59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60">
    <w:name w:val="xl6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61">
    <w:name w:val="xl61"/>
    <w:basedOn w:val="Normal"/>
    <w:pPr>
      <w:pBdr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62">
    <w:name w:val="xl62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63">
    <w:name w:val="xl6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64">
    <w:name w:val="xl6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  <w:lang w:val="en-US"/>
    </w:rPr>
  </w:style>
  <w:style w:type="paragraph" w:customStyle="1" w:styleId="xl65">
    <w:name w:val="xl6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66">
    <w:name w:val="xl66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67">
    <w:name w:val="xl67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  <w:lang w:val="en-US"/>
    </w:rPr>
  </w:style>
  <w:style w:type="paragraph" w:customStyle="1" w:styleId="xl68">
    <w:name w:val="xl68"/>
    <w:basedOn w:val="Normal"/>
    <w:pPr>
      <w:pBdr>
        <w:top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  <w:lang w:val="en-US"/>
    </w:rPr>
  </w:style>
  <w:style w:type="paragraph" w:customStyle="1" w:styleId="xl69">
    <w:name w:val="xl69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70">
    <w:name w:val="xl70"/>
    <w:basedOn w:val="Normal"/>
    <w:pPr>
      <w:pBdr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71">
    <w:name w:val="xl71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72">
    <w:name w:val="xl72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73">
    <w:name w:val="xl73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74">
    <w:name w:val="xl7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75">
    <w:name w:val="xl75"/>
    <w:basedOn w:val="Normal"/>
    <w:pPr>
      <w:pBdr>
        <w:top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  <w:lang w:val="en-US"/>
    </w:rPr>
  </w:style>
  <w:style w:type="paragraph" w:customStyle="1" w:styleId="xl76">
    <w:name w:val="xl76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77">
    <w:name w:val="xl7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78">
    <w:name w:val="xl7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  <w:lang w:val="en-US"/>
    </w:rPr>
  </w:style>
  <w:style w:type="paragraph" w:customStyle="1" w:styleId="xl79">
    <w:name w:val="xl79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80">
    <w:name w:val="xl80"/>
    <w:basedOn w:val="Normal"/>
    <w:pPr>
      <w:pBdr>
        <w:top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81">
    <w:name w:val="xl81"/>
    <w:basedOn w:val="Normal"/>
    <w:pPr>
      <w:pBdr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82">
    <w:name w:val="xl82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83">
    <w:name w:val="xl83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84">
    <w:name w:val="xl8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86">
    <w:name w:val="xl86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87">
    <w:name w:val="xl8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/>
    </w:rPr>
  </w:style>
  <w:style w:type="paragraph" w:customStyle="1" w:styleId="xl88">
    <w:name w:val="xl8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89">
    <w:name w:val="xl8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90">
    <w:name w:val="xl9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91">
    <w:name w:val="xl9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92">
    <w:name w:val="xl9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 w:val="14"/>
      <w:szCs w:val="14"/>
      <w:lang w:val="en-US"/>
    </w:rPr>
  </w:style>
  <w:style w:type="paragraph" w:customStyle="1" w:styleId="xl93">
    <w:name w:val="xl9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333333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FFFFFF"/>
      <w:sz w:val="14"/>
      <w:szCs w:val="14"/>
      <w:lang w:val="en-US"/>
    </w:rPr>
  </w:style>
  <w:style w:type="paragraph" w:customStyle="1" w:styleId="xl94">
    <w:name w:val="xl94"/>
    <w:basedOn w:val="Normal"/>
    <w:pPr>
      <w:pBdr>
        <w:left w:val="single" w:sz="4" w:space="0" w:color="auto"/>
        <w:right w:val="single" w:sz="4" w:space="0" w:color="auto"/>
      </w:pBdr>
      <w:shd w:val="clear" w:color="auto" w:fill="333333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FFFFFF"/>
      <w:sz w:val="14"/>
      <w:szCs w:val="14"/>
      <w:lang w:val="en-US"/>
    </w:rPr>
  </w:style>
  <w:style w:type="paragraph" w:customStyle="1" w:styleId="xl95">
    <w:name w:val="xl9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333333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FFFFFF"/>
      <w:sz w:val="14"/>
      <w:szCs w:val="14"/>
      <w:lang w:val="en-US"/>
    </w:rPr>
  </w:style>
  <w:style w:type="paragraph" w:customStyle="1" w:styleId="xl96">
    <w:name w:val="xl96"/>
    <w:basedOn w:val="Normal"/>
    <w:pP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97">
    <w:name w:val="xl97"/>
    <w:basedOn w:val="Normal"/>
    <w:pP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  <w:lang w:val="en-US"/>
    </w:rPr>
  </w:style>
  <w:style w:type="paragraph" w:customStyle="1" w:styleId="xl98">
    <w:name w:val="xl9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333333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FFFFFF"/>
      <w:sz w:val="14"/>
      <w:szCs w:val="14"/>
      <w:lang w:val="en-US"/>
    </w:rPr>
  </w:style>
  <w:style w:type="paragraph" w:customStyle="1" w:styleId="xl99">
    <w:name w:val="xl99"/>
    <w:basedOn w:val="Normal"/>
    <w:pPr>
      <w:pBdr>
        <w:left w:val="single" w:sz="4" w:space="0" w:color="auto"/>
        <w:right w:val="single" w:sz="4" w:space="0" w:color="auto"/>
      </w:pBdr>
      <w:shd w:val="clear" w:color="auto" w:fill="333333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FFFFFF"/>
      <w:sz w:val="14"/>
      <w:szCs w:val="14"/>
      <w:lang w:val="en-US"/>
    </w:rPr>
  </w:style>
  <w:style w:type="paragraph" w:customStyle="1" w:styleId="xl100">
    <w:name w:val="xl10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333333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FFFFFF"/>
      <w:sz w:val="14"/>
      <w:szCs w:val="1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2003-04-28T12:42:00Z</cp:lastPrinted>
  <dcterms:created xsi:type="dcterms:W3CDTF">2022-09-01T21:31:00Z</dcterms:created>
  <dcterms:modified xsi:type="dcterms:W3CDTF">2022-09-01T21:31:00Z</dcterms:modified>
</cp:coreProperties>
</file>