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İHLAS HOLDİNG A.Ş.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İNŞAAT, SAĞLIK HİZMETLERİ, EĞİTİM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pStyle w:val="Heading2"/>
            </w:pPr>
            <w:r>
              <w:t>CONSTRUCTION, MEDICAL 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EKİM CADDESİ  NO: 23 YENİBOSNA/İSTANBU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M.KEMAL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BÜYÜKÇELİK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OKYAY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ÖZGÜN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212 454 22 90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</w:t>
            </w:r>
            <w:r>
              <w:rPr>
                <w:rFonts w:ascii="Arial" w:hAnsi="Arial"/>
                <w:b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116.070.874.560.000,-TL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116.070.874.560.000,-TL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901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901C3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 xml:space="preserve"> </w:t>
      </w:r>
    </w:p>
    <w:p w:rsidR="00000000" w:rsidRDefault="002901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901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2901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2901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</w:t>
            </w:r>
            <w:r>
              <w:rPr>
                <w:rFonts w:ascii="Arial" w:hAnsi="Arial"/>
                <w:i/>
                <w:sz w:val="16"/>
              </w:rPr>
              <w:t xml:space="preserve"> two years is shown below.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901C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901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901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901C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901C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290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901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2901C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505.777</w:t>
            </w:r>
          </w:p>
        </w:tc>
        <w:tc>
          <w:tcPr>
            <w:tcW w:w="3543" w:type="dxa"/>
          </w:tcPr>
          <w:p w:rsidR="00000000" w:rsidRDefault="002901C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901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2901C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3.234.902</w:t>
            </w:r>
          </w:p>
        </w:tc>
        <w:tc>
          <w:tcPr>
            <w:tcW w:w="3543" w:type="dxa"/>
          </w:tcPr>
          <w:p w:rsidR="00000000" w:rsidRDefault="002901C3">
            <w:pPr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96"/>
        <w:gridCol w:w="808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6" w:type="dxa"/>
          </w:tcPr>
          <w:p w:rsidR="00000000" w:rsidRDefault="002901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808" w:type="dxa"/>
          </w:tcPr>
          <w:p w:rsidR="00000000" w:rsidRDefault="002901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2901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5"/>
        <w:gridCol w:w="1674"/>
        <w:gridCol w:w="2126"/>
        <w:gridCol w:w="859"/>
        <w:gridCol w:w="1267"/>
        <w:gridCol w:w="919"/>
        <w:gridCol w:w="203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49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2901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26" w:type="dxa"/>
            <w:gridSpan w:val="2"/>
          </w:tcPr>
          <w:p w:rsidR="00000000" w:rsidRDefault="002901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949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2901C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290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  <w:gridSpan w:val="2"/>
          </w:tcPr>
          <w:p w:rsidR="00000000" w:rsidRDefault="00290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1- Tasfiy</w:t>
            </w:r>
            <w:r>
              <w:rPr>
                <w:rFonts w:ascii="Arial" w:hAnsi="Arial"/>
                <w:sz w:val="16"/>
                <w:lang w:val="de-DE"/>
              </w:rPr>
              <w:t>e Halinde İhlas Finans Kurumu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5.032.963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50.27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2- İhlas Sigorta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4.970.000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88,25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İhlas Ev Aletleri İml.San. ve Tic.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4.411.941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51,08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İhlas Ticaret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Yay-Sat Yayın Satış Pazarlama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İh</w:t>
            </w:r>
            <w:r>
              <w:rPr>
                <w:rFonts w:ascii="Arial" w:hAnsi="Arial"/>
                <w:sz w:val="16"/>
              </w:rPr>
              <w:t>las Kimya Sanayi Ltd.Şti.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7- İhlas Fuar Hizmetleri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11.000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8- İhlas Gayrimenkul Yatırım Ortaklığı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3.577.500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40,54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9- İhlas Medikal Ürünler ve Sağlık Hiz.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24.383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İhlas Genel Antrepoculuk Nak. ve Tic.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7.148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İhlas Tarsan Tartı ve Ölçü Alet.Elk.Cih.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12- İhlas Haber Ajansı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Aktif Magazin Yayıncılık San. ve Tic.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10.692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14- İhlas Enerji Üretim ve Dağ. Hiz.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497.176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İhlas Eğitim H</w:t>
            </w:r>
            <w:r>
              <w:rPr>
                <w:rFonts w:ascii="Arial" w:hAnsi="Arial"/>
                <w:sz w:val="16"/>
              </w:rPr>
              <w:t>izmet Kurumları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12.989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İhlas Dış Ticaret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11.987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Repaş Medya  Reklam Prod. Basım Hiz.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227.189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İhlas Yapı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10.522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Kuzuluk Kaplıca Turz. Sağl. ve Pet. Ür.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Kristal Gıda Dağı</w:t>
            </w:r>
            <w:r>
              <w:rPr>
                <w:rFonts w:ascii="Arial" w:hAnsi="Arial"/>
                <w:sz w:val="16"/>
              </w:rPr>
              <w:t>tım ve Pazarlama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13.413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İhlas Motor Ltd.Şti.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İhlas Polikliniği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İhlas Hayat Sigorta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5.119.188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85,32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İhlas Net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Doğu Yatırım Holding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İhlas Havacılık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1.741.250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Kristal Kola ve Meşrubat San. Tic.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İfpaş Film Prodüksiyon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712.500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Bafa Bilgisayar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 Kia-İhlas Motor Sanayi ve Ticaret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 İhlas Pazarlama ve Mağ. İşl</w:t>
            </w:r>
            <w:r>
              <w:rPr>
                <w:rFonts w:ascii="Arial" w:hAnsi="Arial"/>
                <w:sz w:val="16"/>
              </w:rPr>
              <w:t>etmecilik Tc.A.Ş.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32- İhlas Matbaacılık Gaz. Yay. San.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67.425.250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33- İnfonıc Bilgisayar Sistemleri San.Tic.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573.940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41,59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34- İhlas Motor Sehimdar Cemiyeti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115.860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35- Bursa-Yalova Enerji Dağıtım Ltd. Şti.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36- İhlas Financial Services Ltd.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8.232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37- Kıbrıs Bürosu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38- İhlas Gazetecilik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30.740.000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24,83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Before w:val="1"/>
          <w:wBefore w:w="3005" w:type="dxa"/>
          <w:cantSplit/>
          <w:jc w:val="center"/>
        </w:trPr>
        <w:tc>
          <w:tcPr>
            <w:tcW w:w="4659" w:type="dxa"/>
            <w:gridSpan w:val="3"/>
          </w:tcPr>
          <w:p w:rsidR="00000000" w:rsidRDefault="002901C3">
            <w:pPr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39- Eko Enerji Üretim Dağıtım Tic. A.Ş.</w:t>
            </w:r>
          </w:p>
        </w:tc>
        <w:tc>
          <w:tcPr>
            <w:tcW w:w="2186" w:type="dxa"/>
            <w:gridSpan w:val="2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</w:t>
            </w:r>
          </w:p>
        </w:tc>
        <w:tc>
          <w:tcPr>
            <w:tcW w:w="2030" w:type="dxa"/>
          </w:tcPr>
          <w:p w:rsidR="00000000" w:rsidRDefault="002901C3">
            <w:pPr>
              <w:spacing w:line="240" w:lineRule="atLeast"/>
              <w:ind w:right="4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901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035" w:type="dxa"/>
          </w:tcPr>
          <w:p w:rsidR="00000000" w:rsidRDefault="002901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01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126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901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290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01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Enver Ören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47.410.951.600.000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A.Mücahid Ören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3.725.267.700.000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Alaettin Şener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52.920.000.000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M. Kemal Aydın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8.000.000.000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Rıdvan Büyükçelik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25.200.000.000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Mehmet Okyay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4.000.000.000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Yavuz Özgün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5.040.000.000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Ali Tubay Gölbaşı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831.051.900.000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Ayhan Apak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210.735.000.000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O. Nuri Osmanağaoğlu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10.584.000.000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Zeki Celep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10.584.000.000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İbrahim Sermet Altınayar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2.646.000.000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Ömer Adnan Uncuoğlu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2.646.000.000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Bülent Gençer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5.292.000.000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Murat Odabaş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2.100.000.000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DİĞER </w:t>
            </w:r>
            <w:r>
              <w:rPr>
                <w:rFonts w:ascii="Arial" w:hAnsi="Arial"/>
                <w:i/>
                <w:snapToGrid w:val="0"/>
                <w:sz w:val="16"/>
                <w:lang w:eastAsia="tr-TR"/>
              </w:rPr>
              <w:t>(Others)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63.763.856.36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TOPLAM </w:t>
            </w: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(TOTAL)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253"/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116.070.874.560.000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01C3">
            <w:pPr>
              <w:ind w:right="532"/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100,00</w:t>
            </w:r>
          </w:p>
        </w:tc>
      </w:tr>
    </w:tbl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Tarih </w:t>
      </w:r>
      <w:r>
        <w:rPr>
          <w:rFonts w:ascii="Arial" w:hAnsi="Arial"/>
          <w:sz w:val="16"/>
        </w:rPr>
        <w:tab/>
        <w:t>: 28/04/2003</w:t>
      </w:r>
    </w:p>
    <w:p w:rsidR="00000000" w:rsidRDefault="002901C3">
      <w:pPr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>Sayı</w:t>
      </w:r>
      <w:r>
        <w:rPr>
          <w:rFonts w:ascii="Arial" w:hAnsi="Arial"/>
          <w:sz w:val="16"/>
        </w:rPr>
        <w:tab/>
        <w:t>: 2003/29</w:t>
      </w: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9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İSTANBUL MENKUL KIYMETLER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</w:t>
      </w:r>
    </w:p>
    <w:p w:rsidR="00000000" w:rsidRDefault="002901C3">
      <w:pPr>
        <w:ind w:right="9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BORSASI BAŞKANLIĞI’NA</w:t>
      </w: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İlgi: 27.03.2003 tarih ve 1341 </w:t>
      </w:r>
      <w:r>
        <w:rPr>
          <w:rFonts w:ascii="Arial" w:hAnsi="Arial"/>
          <w:sz w:val="16"/>
        </w:rPr>
        <w:t>sayılı Genel Mektubunuz.</w:t>
      </w:r>
    </w:p>
    <w:p w:rsidR="00000000" w:rsidRDefault="002901C3">
      <w:pPr>
        <w:ind w:right="91"/>
        <w:rPr>
          <w:rFonts w:ascii="Arial" w:hAnsi="Arial"/>
          <w:sz w:val="16"/>
        </w:rPr>
      </w:pPr>
    </w:p>
    <w:p w:rsidR="00000000" w:rsidRDefault="002901C3">
      <w:pPr>
        <w:ind w:right="-618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İlgi’de kayıtlı Genel Mektubunuz ile istemiş olduğunuz bilgilerin yazıcı çıktısı Ek’te sunulmuş, elektronik dosyası ise elektronik posta (e-mail) ile Genel Mektubunuz ekinde belirtilen elektronik posta (e-mail) adresine 28.04.2003</w:t>
      </w:r>
      <w:r>
        <w:rPr>
          <w:rFonts w:ascii="Arial" w:hAnsi="Arial"/>
          <w:sz w:val="16"/>
        </w:rPr>
        <w:t xml:space="preserve"> tarihinde yollanmıştır. Elektronik posta (e-mail) ile yollanan dosyadaki bilgiler ile ilişik yazıcı çıktısında yeralan bilgiler arasında herhangi bir farklılık bulunmadığını, sözkonusu bilgilerin daha önce mevzuat hükümleri çerçevesinde kamuya açıklanan b</w:t>
      </w:r>
      <w:r>
        <w:rPr>
          <w:rFonts w:ascii="Arial" w:hAnsi="Arial"/>
          <w:sz w:val="16"/>
        </w:rPr>
        <w:t>ilgilerden oluştuğunu, defter, kayıt ve belgelerimize uygun olduğunu, tarafımızca hazırlanan ve elektronik posta (e-mail) ile yollanan, Borsanızın İnternet sitesinde aynen yayınlanacak manyetik dosyadaki her türlü bilginin doğruluğundan Şirketimizin soruml</w:t>
      </w:r>
      <w:r>
        <w:rPr>
          <w:rFonts w:ascii="Arial" w:hAnsi="Arial"/>
          <w:sz w:val="16"/>
        </w:rPr>
        <w:t>u olduğunu beyan ve taahhüt ederiz.</w:t>
      </w:r>
    </w:p>
    <w:p w:rsidR="00000000" w:rsidRDefault="002901C3">
      <w:pPr>
        <w:ind w:right="-622"/>
        <w:jc w:val="both"/>
        <w:rPr>
          <w:rFonts w:ascii="Arial" w:hAnsi="Arial"/>
          <w:sz w:val="16"/>
        </w:rPr>
      </w:pPr>
    </w:p>
    <w:p w:rsidR="00000000" w:rsidRDefault="002901C3">
      <w:pPr>
        <w:ind w:right="-62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Saygılarımızla,</w:t>
      </w:r>
    </w:p>
    <w:p w:rsidR="00000000" w:rsidRDefault="002901C3">
      <w:pPr>
        <w:ind w:right="-622"/>
        <w:jc w:val="both"/>
        <w:rPr>
          <w:rFonts w:ascii="Arial" w:hAnsi="Arial"/>
          <w:sz w:val="16"/>
        </w:rPr>
      </w:pPr>
    </w:p>
    <w:p w:rsidR="00000000" w:rsidRDefault="002901C3">
      <w:pPr>
        <w:ind w:right="-622"/>
        <w:jc w:val="both"/>
        <w:rPr>
          <w:rFonts w:ascii="Arial" w:hAnsi="Arial"/>
          <w:sz w:val="16"/>
        </w:rPr>
      </w:pPr>
    </w:p>
    <w:p w:rsidR="00000000" w:rsidRDefault="002901C3">
      <w:pPr>
        <w:tabs>
          <w:tab w:val="center" w:pos="6096"/>
        </w:tabs>
        <w:ind w:right="-62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</w:t>
      </w:r>
    </w:p>
    <w:p w:rsidR="00000000" w:rsidRDefault="002901C3">
      <w:pPr>
        <w:tabs>
          <w:tab w:val="center" w:pos="4678"/>
          <w:tab w:val="center" w:pos="7513"/>
        </w:tabs>
        <w:ind w:right="-62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Mahmut Kemal Aydın </w:t>
      </w:r>
      <w:r>
        <w:rPr>
          <w:rFonts w:ascii="Arial" w:hAnsi="Arial"/>
          <w:sz w:val="16"/>
        </w:rPr>
        <w:tab/>
        <w:t>Alaettin Şener</w:t>
      </w:r>
    </w:p>
    <w:p w:rsidR="00000000" w:rsidRDefault="002901C3">
      <w:pPr>
        <w:tabs>
          <w:tab w:val="center" w:pos="4678"/>
          <w:tab w:val="center" w:pos="7513"/>
        </w:tabs>
        <w:ind w:right="-62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Yönetim Kurulu Üyesi </w:t>
      </w:r>
      <w:r>
        <w:rPr>
          <w:rFonts w:ascii="Arial" w:hAnsi="Arial"/>
          <w:sz w:val="16"/>
        </w:rPr>
        <w:tab/>
        <w:t xml:space="preserve">Yönetim Kurulu Üyesi </w:t>
      </w:r>
    </w:p>
    <w:p w:rsidR="00000000" w:rsidRDefault="002901C3">
      <w:pPr>
        <w:tabs>
          <w:tab w:val="center" w:pos="4678"/>
          <w:tab w:val="center" w:pos="7513"/>
        </w:tabs>
        <w:ind w:right="-622"/>
        <w:jc w:val="both"/>
        <w:rPr>
          <w:rFonts w:ascii="Arial" w:hAnsi="Arial"/>
          <w:sz w:val="16"/>
        </w:rPr>
      </w:pPr>
    </w:p>
    <w:p w:rsidR="00000000" w:rsidRDefault="002901C3">
      <w:pPr>
        <w:ind w:right="-622"/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</w:p>
    <w:p w:rsidR="00000000" w:rsidRDefault="002901C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Ek: 1) Elektronik posta (e-mail) ile yollanan manyetik dosyada yeralan bilgilerin yazıcı çıktısı</w:t>
      </w:r>
    </w:p>
    <w:p w:rsidR="00000000" w:rsidRDefault="002901C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ind w:right="-851"/>
        <w:rPr>
          <w:rFonts w:ascii="Arial" w:hAnsi="Arial"/>
          <w:sz w:val="16"/>
        </w:rPr>
      </w:pPr>
    </w:p>
    <w:p w:rsidR="00000000" w:rsidRDefault="002901C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01C3"/>
    <w:rsid w:val="002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1761-C027-404F-BC43-A7254684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2003-04-28T14:28:00Z</cp:lastPrinted>
  <dcterms:created xsi:type="dcterms:W3CDTF">2022-09-01T21:31:00Z</dcterms:created>
  <dcterms:modified xsi:type="dcterms:W3CDTF">2022-09-01T21:31:00Z</dcterms:modified>
</cp:coreProperties>
</file>