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İŞ GAYRİMENKUL YATIRIM ORTAKLIĞI A.Ş. </w:t>
            </w:r>
          </w:p>
        </w:tc>
      </w:tr>
    </w:tbl>
    <w:p w:rsidR="00000000" w:rsidRDefault="00DC30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 AĞUSTOS 1999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ŞİRKET’İN TEMEL AMAÇ VE FAALİYET KONUSU GAYRİMENKULLER, GAYRİMENKULE DAYALI SERMAYE PİYASASI ARAÇLARI, GAYRİMENKUL PROJELERİ VE SERMAYE </w:t>
            </w:r>
            <w:r>
              <w:rPr>
                <w:rFonts w:ascii="Arial" w:hAnsi="Arial"/>
                <w:sz w:val="16"/>
              </w:rPr>
              <w:t xml:space="preserve">PİYASASI ARAÇLARINA YATIRIM YAPMAK GİBİ SERMAYE PİYASASI KURULU’NUN GAYRİMENKUL YATIRIM ORTAKLIKLARI’NA İLİŞKİN DÜZENLEMELERİNDE YAZILI AMAÇ VE KONULARDA İŞTİGAL ETMEKTİR.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KULELERİ KULE 2 KAT : 9 34330 4. LEVENT </w:t>
            </w: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TÜRKÖVÜN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GÜRMAN TEVFİK</w:t>
            </w:r>
          </w:p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BUKET HİMMETOĞLU </w:t>
            </w:r>
          </w:p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TURGAY TANES </w:t>
            </w:r>
          </w:p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TUFAN KARAOĞLU </w:t>
            </w:r>
          </w:p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HALDUN BAYDAR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</w:t>
            </w:r>
            <w:r>
              <w:rPr>
                <w:rFonts w:ascii="Arial" w:hAnsi="Arial"/>
                <w:sz w:val="16"/>
              </w:rPr>
              <w:t xml:space="preserve">25 23 50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0212 325 23 80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235.690.000.000.000-TL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C306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C30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DC30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DC30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portfolio  as of 31.12.2002 </w:t>
            </w:r>
            <w:r>
              <w:rPr>
                <w:rFonts w:ascii="Arial" w:hAnsi="Arial"/>
                <w:i/>
                <w:sz w:val="16"/>
              </w:rPr>
              <w:t>is shown below.</w:t>
            </w:r>
          </w:p>
        </w:tc>
      </w:tr>
    </w:tbl>
    <w:p w:rsidR="00000000" w:rsidRDefault="00DC3063">
      <w:pPr>
        <w:rPr>
          <w:rFonts w:ascii="Arial" w:hAnsi="Arial"/>
          <w:sz w:val="16"/>
        </w:rPr>
      </w:pPr>
    </w:p>
    <w:p w:rsidR="00000000" w:rsidRDefault="00DC306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C30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2798"/>
        <w:gridCol w:w="1997"/>
        <w:gridCol w:w="902"/>
        <w:gridCol w:w="1"/>
        <w:gridCol w:w="1"/>
        <w:gridCol w:w="1"/>
        <w:gridCol w:w="1"/>
        <w:gridCol w:w="1240"/>
        <w:gridCol w:w="1"/>
        <w:gridCol w:w="1"/>
        <w:gridCol w:w="1"/>
        <w:gridCol w:w="1"/>
        <w:gridCol w:w="1"/>
        <w:gridCol w:w="955"/>
        <w:gridCol w:w="1017"/>
        <w:gridCol w:w="1"/>
        <w:gridCol w:w="945"/>
        <w:gridCol w:w="1133"/>
        <w:gridCol w:w="1"/>
        <w:gridCol w:w="968"/>
        <w:gridCol w:w="9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tcW w:w="530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İŞ  GAYRİMENKUL YATIRIM ORTAKLIĞI A.Ş.'NİN PORTFÖY TABLOSU (MİLYON TL)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1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RAPOR TARİHİ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31 ARALIK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57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PORTFÖYDE YERALAN VARLIKLARIN TÜRÜ (DEFINITIONS OF ASSETS PORTFOLIO)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TANIM BİLGİLERİ YERİ, ALANI (LOCATION-AREA)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SATIN ALIŞ TAR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İHİ (BUYING DATE)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ALIŞ MALİYETİ  (TL) (BUYING COST)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EKSPERTİZ RAPORU TARİHİ    (DATE OF EKSPERTISE )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EKSPERTİZ /MENKUL KIYMET RAYİÇ DEĞERİ                         I                        (EKSPERTISE VALUE )  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BAKİYE BORÇ  II (DEBIT)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PORTFÖY DEĞERİ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       III=  I - II (PORTFOLIO VALUE )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GRUP İÇİ ORANLAR  % (% IN ITS OWN GROUP)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VARLIK GRUBUNUN PORTFÖYDEKİ ORANI  % (% IN PORTFOLIO)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57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A   GAYRİMENKULLER                                        (1)  (REAL ESTATES)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208.967.564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458.720.000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458.720.000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  Arsalar (Lands) 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2.702.020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2.285.000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2.285.000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100,00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 Arsa 1,  İstanbul, Beşiktaş I.Bölge, Rumelihisarı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981 Ada, 629,630,631,572 Parsel, 7.613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28.12.1998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2.702.020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20.12.2002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2.285.000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2.285.000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100,00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480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Binalar-Konutlar  (Bui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lding -Residency)</w:t>
            </w:r>
          </w:p>
        </w:tc>
        <w:tc>
          <w:tcPr>
            <w:gridSpan w:val="6"/>
            <w:hMerge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183.605.378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414.235.000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414.235.000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70,94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86,35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-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Ankara İş Kulesi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, Ofis Katları, A, B ve C Blok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Kavaklıdere-Ankara                   26.488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25.12.1998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21.682.500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29.11.2002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82.990.000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82.990.000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20,03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480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   - İstanbul İş Ku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leleri Kompleksi</w:t>
            </w: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31.914.321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180.380.000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180.380.000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43,55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-İş Kuleleri, KULE-2, Ofis Katları, 34 Kat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4.Levent-İstanbul                               28.135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28.12.1998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23.12.2002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80.430.000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80.430.000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19,42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-İş Kuleleri, KULE-3, Ofi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s Katları, 34 Kat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4.Levent-İstanbul                                   28.514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28.12.1998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23.12.2002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78.460.000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78.460.000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18,94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-İş Kuleleri, Alışveriş Merkezi, 48  adet mağaza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4.Levent-İstanbul                                   6.675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28.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12.1998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23.12.2002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14.170.000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14.170.000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3,42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-İş Kuleleri, Ticari Otopark, 500 Araç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4.Levent-İstanbul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28.12.1998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23.12.2002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7.320.000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7.320.000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1,77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   - Maslak Binası,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Ofis Katları, 17 Kat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Ayazağa-İstanbul                        12.904,21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14.05.2001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24.517.350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26.12.2002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30.500.000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30.500.000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7,36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   -Tatilya Eğlence Merkezi                         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Eğlence üniteleri, Otopark, TV Stüdyosu binası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Istanbul, Büyükçekmece, II.Bölge, Beylikdüzü mevkii, 21 ada, 101, 102, 103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, 105 ve 107 parseller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28.06.2001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60.785.307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13.12.2002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70.275.000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70.275.000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16,97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   -Seven Seas Oteli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Antalya, Manavgat, Sorgun Köyü, Ayıgürü Mevkii, 52.699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28.06.2001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38.214.780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18.11.2002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42.660.000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42.660.000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10,30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-Solaris Plaza,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6 katl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ı iş merkezi                                        30 Adet Bağımsız Bölüm 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Muğla, Marmaris, Kemeraltı Mah. Uzunyalı Mevkii, 1.116,33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 w:eastAsia="en-US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28.06.2001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6.491.120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18.11.2002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7.430.000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7.430.000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1,79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480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    Gayrimenkul Projeleri (Real Estate Projects)</w:t>
            </w: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22.66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0.166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42.200.000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42.200.000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10,19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8,80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- İstanbul Kanyon Pojesi:                                                Konut, Ofis, Sinema, Otopark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4.Levent-İstanbul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24.01.2001</w:t>
            </w: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22.660.166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26.12.2002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42.200.000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42.200.000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10,19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892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B    MÜLKİYETE GEÇİRİLMEMİ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Ş VARLIKLAR   (2)                          ( Assets which are not in company's ownership)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5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 Gayrimenkul Proje Avansları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 Diğer Gayrimenkuller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57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C   MENKUL KIYMETLER                                     (3) (SECURITIES) 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19.783.216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20.995.050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20.995.050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100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-Yatırım Fonu Katılma Belgesi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329.328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335.159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335.159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1,60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- Repo-Ters Repo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1.162.003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1.163.356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1.163.356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5,54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- Hazine Bonosu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18.216.071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19.401.541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19.401.541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92,41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- Hisse 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enedi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75.814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94.994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94.994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0,45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570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D=A+B+C         TOPLAM PORTFÖY DEĞERİ (TOTAL PORTFOLIO VALUE)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228.750.780</w:t>
            </w: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479.715.050</w:t>
            </w: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479.715.050</w:t>
            </w: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997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2923" w:type="dxa"/>
            <w:hMerge w:val="restart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D=A+B+C             TOPLAM PORTFÖY DEĞERİ</w:t>
            </w:r>
          </w:p>
        </w:tc>
        <w:tc>
          <w:tcPr>
            <w:hMerge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7"/>
            <w:hMerge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479.715.050</w:t>
            </w:r>
          </w:p>
        </w:tc>
        <w:tc>
          <w:tcPr>
            <w:tcW w:w="1939" w:type="dxa"/>
            <w:hMerge w:val="restart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TOTAL PORTFOLIO VALUE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2923" w:type="dxa"/>
            <w:hMerge w:val="restart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Hazır Değerle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r (Liquid Assets)</w:t>
            </w: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7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5.274.644</w:t>
            </w:r>
          </w:p>
        </w:tc>
        <w:tc>
          <w:tcPr>
            <w:tcW w:w="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DİPNOT AÇIKLAMALARI 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2923" w:type="dxa"/>
            <w:hMerge w:val="restart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F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 Alacaklar ( Trade Receivables )</w:t>
            </w: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7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117.638</w:t>
            </w:r>
          </w:p>
        </w:tc>
        <w:tc>
          <w:tcPr>
            <w:tcW w:w="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6946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(1)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Ekspertiz şirketince onaylı yasal ekspertiz raporunda yer alan (TL) değeridir.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0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977" w:type="dxa"/>
            <w:hMerge w:val="restart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G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Borçlar (Liabilities)</w:t>
            </w:r>
          </w:p>
        </w:tc>
        <w:tc>
          <w:tcPr>
            <w:gridSpan w:val="6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-29.751.369</w:t>
            </w:r>
          </w:p>
        </w:tc>
        <w:tc>
          <w:tcPr>
            <w:tcW w:w="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6946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Değerlemenin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döviz cinsinden değeri üzerinden cari kurla değerleme yapılamaz.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0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2923" w:type="dxa"/>
            <w:hMerge w:val="restart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H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  Diğer Aktifler (Other Assets)</w:t>
            </w: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7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3.692.414</w:t>
            </w:r>
          </w:p>
        </w:tc>
        <w:tc>
          <w:tcPr>
            <w:tcW w:w="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6946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(2)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Ortaklık mülkiyetine geçirilmemiş gayrimenkuller ile gayrimenkul projeleri için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0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2923" w:type="dxa"/>
            <w:hMerge w:val="restart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 I=D+(E+F-G+H)    NET AKTİF DEĞER</w:t>
            </w: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7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459.048.377</w:t>
            </w:r>
          </w:p>
        </w:tc>
        <w:tc>
          <w:tcPr>
            <w:tcW w:w="1939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NET ASSET VALUE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6946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portföy değeri sütununa sadece tablonun hazırlanış tarihine kadar yapılan ödemelerin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0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2923" w:type="dxa"/>
            <w:hMerge w:val="restart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J                            PAY SAYISI</w:t>
            </w: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7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235.690.000.000</w:t>
            </w:r>
          </w:p>
        </w:tc>
        <w:tc>
          <w:tcPr>
            <w:tcW w:w="1939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NUMBER OF SHARES 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80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toplamı yazılır.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2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2923" w:type="dxa"/>
            <w:hMerge w:val="restart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K=I/J                     PAYBAŞI NET AKTİF DEĞERİ</w:t>
            </w: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7"/>
            <w:hMerge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1.948</w:t>
            </w:r>
          </w:p>
        </w:tc>
        <w:tc>
          <w:tcPr>
            <w:tcW w:w="1939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NET ASSET VALUE PER SHARE 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6946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(3)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  Borsada işlem gören varlıklar değerleme gününde borsada oluşan ağırlıklı ortalama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0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0" w:type="dxa"/>
            <w:gridSpan w:val="6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6946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fiyat ve oranlarla değerlenir. İki seans uygulanan borsalarda değerleme fiyatı ; ikinci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0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97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DİĞER  BİLGİLER</w:t>
            </w:r>
          </w:p>
        </w:tc>
        <w:tc>
          <w:tcPr>
            <w:gridSpan w:val="6"/>
            <w:hMerge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2079" w:type="dxa"/>
            <w:hMerge w:val="restart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OTHER INFORMA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TION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6946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seans ağırlıklı ortalama fiyatı ve oranıdır. Değerleri bu şekilde belirlenemeyen borçlanma 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0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977" w:type="dxa"/>
            <w:hMerge w:val="restart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Alınan Krediler LOANS</w:t>
            </w:r>
          </w:p>
        </w:tc>
        <w:tc>
          <w:tcPr>
            <w:gridSpan w:val="6"/>
            <w:hMerge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6946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senetleri ve repolar ise son iş günündeki portföy değerlerine , sermaye piyasası aracının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0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5995" w:type="dxa"/>
            <w:hMerge w:val="restart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Rehin İpotek ve Teminatlar PLED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GE MORTGAGE AND GUARANTEES </w:t>
            </w: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8"/>
            <w:hMerge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6946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 xml:space="preserve">iç verim oranı üzerinden günlük bileşik faiz esasına göre hesaplanan faizin anaparaya 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0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2923" w:type="dxa"/>
            <w:hMerge w:val="restart"/>
            <w:tcBorders>
              <w:top w:val="single" w:sz="2" w:space="0" w:color="000000"/>
              <w:left w:val="single" w:sz="6" w:space="0" w:color="auto"/>
              <w:bottom w:val="single" w:sz="6" w:space="0" w:color="auto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Sigorta Tutarları  AMOUNT OF INSURANCE ON REAL ESTATE PORTFOLIO</w:t>
            </w:r>
          </w:p>
        </w:tc>
        <w:tc>
          <w:tcPr>
            <w:hMerge/>
            <w:tcBorders>
              <w:top w:val="single" w:sz="2" w:space="0" w:color="000000"/>
              <w:bottom w:val="single" w:sz="6" w:space="0" w:color="auto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gridSpan w:val="7"/>
            <w:hMerge/>
            <w:tcBorders>
              <w:top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290.065.545</w:t>
            </w:r>
          </w:p>
        </w:tc>
        <w:tc>
          <w:tcPr>
            <w:tcW w:w="969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7906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DC3063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eklenmesi suretiyle değerlenir. Diğerleri, alış değ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erleri veya en son borsa fiyatları ile değerlenir.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gridSpan w:val="15"/>
            <w:hMerge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46" w:type="dxa"/>
            <w:gridSpan w:val="2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DC306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</w:p>
        </w:tc>
      </w:tr>
    </w:tbl>
    <w:p w:rsidR="00000000" w:rsidRDefault="00DC3063">
      <w:pPr>
        <w:rPr>
          <w:rFonts w:ascii="Arial" w:hAnsi="Arial"/>
          <w:sz w:val="16"/>
        </w:rPr>
      </w:pPr>
    </w:p>
    <w:p w:rsidR="00000000" w:rsidRDefault="00DC3063">
      <w:pPr>
        <w:rPr>
          <w:rFonts w:ascii="Arial" w:hAnsi="Arial"/>
          <w:sz w:val="16"/>
        </w:rPr>
      </w:pPr>
    </w:p>
    <w:p w:rsidR="00000000" w:rsidRDefault="00DC3063">
      <w:pPr>
        <w:rPr>
          <w:rFonts w:ascii="Arial" w:hAnsi="Arial"/>
          <w:sz w:val="16"/>
        </w:rPr>
      </w:pPr>
    </w:p>
    <w:p w:rsidR="00000000" w:rsidRDefault="00DC306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30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C30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30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C306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C30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DC30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</w:t>
            </w:r>
            <w:r>
              <w:rPr>
                <w:rFonts w:ascii="Arial" w:hAnsi="Arial"/>
                <w:b/>
                <w:sz w:val="16"/>
              </w:rPr>
              <w:t>n TL)</w:t>
            </w:r>
          </w:p>
        </w:tc>
        <w:tc>
          <w:tcPr>
            <w:tcW w:w="2410" w:type="dxa"/>
          </w:tcPr>
          <w:p w:rsidR="00000000" w:rsidRDefault="00DC30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C3063">
            <w:pPr>
              <w:pStyle w:val="Heading3"/>
            </w:pPr>
            <w:r>
              <w:t>Share Holders</w:t>
            </w:r>
          </w:p>
        </w:tc>
        <w:tc>
          <w:tcPr>
            <w:tcW w:w="1984" w:type="dxa"/>
          </w:tcPr>
          <w:p w:rsidR="00000000" w:rsidRDefault="00DC30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C30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C30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T.İş Bankası A.Ş </w:t>
            </w:r>
          </w:p>
        </w:tc>
        <w:tc>
          <w:tcPr>
            <w:tcW w:w="1984" w:type="dxa"/>
          </w:tcPr>
          <w:p w:rsidR="00000000" w:rsidRDefault="00DC306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145.378.245</w:t>
            </w:r>
          </w:p>
        </w:tc>
        <w:tc>
          <w:tcPr>
            <w:tcW w:w="2410" w:type="dxa"/>
          </w:tcPr>
          <w:p w:rsidR="00000000" w:rsidRDefault="00DC3063">
            <w:pPr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İzmir Demir Çelik Sanayi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3.367.000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Sigorta .AŞ.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3.205.384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Anonim Türk Sigorta Şirketi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2.525.250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Madencilik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Sigorta Hizmetleri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Camtaş Düzcam Pazarlama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Nemtaş Nemrut Liman İşletmeleri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Kısım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81.187.185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34,46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/TOTAL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235.690.000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C30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C30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3063">
      <w:pPr>
        <w:ind w:right="-1231"/>
        <w:rPr>
          <w:rFonts w:ascii="Arial" w:hAnsi="Arial"/>
          <w:sz w:val="16"/>
        </w:rPr>
      </w:pPr>
    </w:p>
    <w:p w:rsidR="00000000" w:rsidRDefault="00DC3063">
      <w:pPr>
        <w:ind w:right="-1231"/>
        <w:rPr>
          <w:rFonts w:ascii="Arial" w:hAnsi="Arial"/>
          <w:sz w:val="16"/>
        </w:rPr>
      </w:pPr>
    </w:p>
    <w:p w:rsidR="00000000" w:rsidRDefault="00DC30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306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3063"/>
    <w:rsid w:val="00D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3ED1B-E84D-4792-8C3A-C183612A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2003-04-22T20:28:00Z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-184185769</vt:i4>
  </property>
  <property fmtid="{D5CDD505-2E9C-101B-9397-08002B2CF9AE}" pid="3" name="_EmailSubject">
    <vt:lpwstr>ISGYO </vt:lpwstr>
  </property>
  <property fmtid="{D5CDD505-2E9C-101B-9397-08002B2CF9AE}" pid="4" name="_AuthorEmail">
    <vt:lpwstr>sbeser@isgyo.com.tr</vt:lpwstr>
  </property>
  <property fmtid="{D5CDD505-2E9C-101B-9397-08002B2CF9AE}" pid="5" name="_AuthorEmailDisplayName">
    <vt:lpwstr>Selma Beşer</vt:lpwstr>
  </property>
  <property fmtid="{D5CDD505-2E9C-101B-9397-08002B2CF9AE}" pid="6" name="_ReviewingToolsShownOnce">
    <vt:lpwstr/>
  </property>
</Properties>
</file>