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589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SODA SANAYİİ A.Ş.</w:t>
            </w:r>
          </w:p>
        </w:tc>
      </w:tr>
    </w:tbl>
    <w:p w:rsidR="00000000" w:rsidRDefault="002158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16.10.1969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SODA, HAFİF SODA, AĞIR SODA, SODYUM BİKARBONAT, SODYUM SİLİKAT, SODYUM BİKROMAT, SODYUM SÜLFÜR, SODYUM SÜLFAT, BAZİK KROM SÜLFAT (TANKROM AB, TANKROM SB, TANKROM OBM, T</w:t>
            </w:r>
            <w:r>
              <w:rPr>
                <w:rFonts w:ascii="Arial" w:hAnsi="Arial"/>
                <w:sz w:val="16"/>
              </w:rPr>
              <w:t>ANKROM F24, TANKROM FS, TANKROM OB, TANKROM FO, RESİNTAN M),KROMİK ASİT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SODAASH, LİGHT SODAASH, HEAVY SODAASH, SODIUM BICARBONATE, SODİUM SİLİCATE, SODIUM DICROMATE, SODIUM SULPHIDE,  SODIUM SULPHATE , BASİC  CHROMIUM SULPHATE  (TAN</w:t>
            </w:r>
            <w:r>
              <w:rPr>
                <w:rFonts w:ascii="Arial" w:hAnsi="Arial"/>
                <w:sz w:val="16"/>
              </w:rPr>
              <w:t>KROM AB, TANKROM SB, TANKROM OBM, TANKROM F24, TANKROM FS, TANKROM OB, TANKROM FO, RESİNTAN M),CHROMIC ACID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POSTA  KUTUSU:654           33004-KAZANLI/MERSİN </w:t>
            </w:r>
          </w:p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NOT(27.03.2003 TARİHİNDE YAPILAN OLAĞAN GENEL KURUL’DAN İTİBAREN İŞ KULELERİ KULE </w:t>
            </w:r>
            <w:r>
              <w:rPr>
                <w:rFonts w:ascii="Arial" w:hAnsi="Arial"/>
                <w:color w:val="000000"/>
                <w:sz w:val="16"/>
              </w:rPr>
              <w:t>3 POSTA KUTUSU:34030 4.LEVENT/İSTANBUL)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POST           BOX:654           33004-KAZANLI/MERSİN </w:t>
            </w:r>
          </w:p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NOTE ( AFTER 27.03.2003 REGULAR MEETING; THE NEW ADRESS IS: IŞ TOWERS TOWER 3  POST BOX:34030 4.LEVENT/ISTANBUL)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DİDİN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 TEVFİK ATEŞ KUT </w:t>
            </w:r>
          </w:p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KANPARA</w:t>
            </w:r>
          </w:p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NUR ATUKALP</w:t>
            </w:r>
          </w:p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CAHİT BÖRK</w:t>
            </w:r>
          </w:p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GÖKÇE</w:t>
            </w:r>
          </w:p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ÜNAY SABRİYE GÜLDAL</w:t>
            </w:r>
          </w:p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İHSAN ORHON</w:t>
            </w:r>
          </w:p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HALDUN SABİT ÖZFERENDECİ</w:t>
            </w:r>
          </w:p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  <w:r>
              <w:rPr>
                <w:rFonts w:ascii="Arial" w:hAnsi="Arial"/>
                <w:color w:val="000000"/>
                <w:sz w:val="16"/>
              </w:rPr>
              <w:t xml:space="preserve">2 350 50 50/324 451 32 32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212 350 58 60/324 221 90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428 MEMUR, 589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428 CİVİL SERVANT, 589 WORKER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01.01.2002  31.12.2003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</w:t>
            </w:r>
            <w:r>
              <w:rPr>
                <w:rFonts w:ascii="Arial" w:hAnsi="Arial"/>
                <w:b/>
                <w:color w:val="000000"/>
                <w:sz w:val="16"/>
              </w:rPr>
              <w:t>rgaining Period)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PETROLEUM OİL CHEMİCAL RUBBER WORKERS TRADE UNİON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100.000.000.000.000.</w:t>
            </w:r>
            <w:r>
              <w:rPr>
                <w:i w:val="0"/>
                <w:color w:val="000000"/>
                <w:lang w:val="tr-TR"/>
              </w:rPr>
              <w:t>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62.630.000.000.000.TL.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ISE NATİONAL MARKET</w:t>
            </w:r>
          </w:p>
        </w:tc>
      </w:tr>
    </w:tbl>
    <w:p w:rsidR="00000000" w:rsidRDefault="002158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8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2158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8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15897">
      <w:pPr>
        <w:rPr>
          <w:rFonts w:ascii="Arial" w:hAnsi="Arial"/>
          <w:sz w:val="16"/>
        </w:rPr>
      </w:pPr>
    </w:p>
    <w:p w:rsidR="00000000" w:rsidRDefault="002158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993"/>
        <w:gridCol w:w="850"/>
        <w:gridCol w:w="1276"/>
        <w:gridCol w:w="850"/>
        <w:gridCol w:w="953"/>
        <w:gridCol w:w="851"/>
        <w:gridCol w:w="992"/>
        <w:gridCol w:w="851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675" w:type="dxa"/>
          </w:tcPr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Karbonat (Ton)</w:t>
            </w:r>
          </w:p>
        </w:tc>
        <w:tc>
          <w:tcPr>
            <w:tcW w:w="850" w:type="dxa"/>
          </w:tcPr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Bikarbonat (Ton)</w:t>
            </w:r>
          </w:p>
        </w:tc>
        <w:tc>
          <w:tcPr>
            <w:tcW w:w="850" w:type="dxa"/>
          </w:tcPr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53" w:type="dxa"/>
          </w:tcPr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Silikat (Ton)</w:t>
            </w:r>
          </w:p>
        </w:tc>
        <w:tc>
          <w:tcPr>
            <w:tcW w:w="851" w:type="dxa"/>
          </w:tcPr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bikromat (Ton)</w:t>
            </w:r>
          </w:p>
        </w:tc>
        <w:tc>
          <w:tcPr>
            <w:tcW w:w="851" w:type="dxa"/>
          </w:tcPr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Sülfür (Ton)</w:t>
            </w:r>
          </w:p>
        </w:tc>
        <w:tc>
          <w:tcPr>
            <w:tcW w:w="850" w:type="dxa"/>
          </w:tcPr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897">
            <w:pPr>
              <w:framePr w:hSpace="141" w:wrap="around" w:vAnchor="text" w:hAnchor="margin" w:xAlign="center" w:y="-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993"/>
        <w:gridCol w:w="850"/>
        <w:gridCol w:w="1276"/>
        <w:gridCol w:w="850"/>
        <w:gridCol w:w="953"/>
        <w:gridCol w:w="851"/>
        <w:gridCol w:w="992"/>
        <w:gridCol w:w="851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675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Sodi</w:t>
            </w:r>
            <w:r>
              <w:rPr>
                <w:rFonts w:ascii="Arial" w:hAnsi="Arial"/>
                <w:b/>
                <w:color w:val="000000"/>
                <w:sz w:val="16"/>
              </w:rPr>
              <w:t>um Carbonate (Tons)</w:t>
            </w: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Sodium Bicarbonate (Tons)</w:t>
            </w: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53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Sodium Silicate (Tons)</w:t>
            </w:r>
          </w:p>
        </w:tc>
        <w:tc>
          <w:tcPr>
            <w:tcW w:w="851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Sodium Dichromate (Tons)</w:t>
            </w:r>
          </w:p>
        </w:tc>
        <w:tc>
          <w:tcPr>
            <w:tcW w:w="851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Sodium Sulphide (Tons)</w:t>
            </w: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993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687.660</w:t>
            </w:r>
          </w:p>
        </w:tc>
        <w:tc>
          <w:tcPr>
            <w:tcW w:w="850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87.000</w:t>
            </w:r>
          </w:p>
        </w:tc>
        <w:tc>
          <w:tcPr>
            <w:tcW w:w="850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53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32.424</w:t>
            </w:r>
          </w:p>
        </w:tc>
        <w:tc>
          <w:tcPr>
            <w:tcW w:w="851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92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45,021</w:t>
            </w:r>
          </w:p>
        </w:tc>
        <w:tc>
          <w:tcPr>
            <w:tcW w:w="851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97</w:t>
            </w:r>
          </w:p>
        </w:tc>
        <w:tc>
          <w:tcPr>
            <w:tcW w:w="992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7.728</w:t>
            </w:r>
          </w:p>
        </w:tc>
        <w:tc>
          <w:tcPr>
            <w:tcW w:w="850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993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711.895</w:t>
            </w:r>
          </w:p>
        </w:tc>
        <w:tc>
          <w:tcPr>
            <w:tcW w:w="850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80.005</w:t>
            </w:r>
          </w:p>
        </w:tc>
        <w:tc>
          <w:tcPr>
            <w:tcW w:w="850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53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33.350</w:t>
            </w:r>
          </w:p>
        </w:tc>
        <w:tc>
          <w:tcPr>
            <w:tcW w:w="851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92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47.860</w:t>
            </w:r>
          </w:p>
        </w:tc>
        <w:tc>
          <w:tcPr>
            <w:tcW w:w="851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109</w:t>
            </w:r>
          </w:p>
        </w:tc>
        <w:tc>
          <w:tcPr>
            <w:tcW w:w="992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  <w:tc>
          <w:tcPr>
            <w:tcW w:w="850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53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000000" w:rsidRDefault="00215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Sülfat (Ton)</w:t>
            </w: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215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Tankrom (Ton)</w:t>
            </w: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53" w:type="dxa"/>
          </w:tcPr>
          <w:p w:rsidR="00000000" w:rsidRDefault="00215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Resintan M (Ton)</w:t>
            </w:r>
          </w:p>
        </w:tc>
        <w:tc>
          <w:tcPr>
            <w:tcW w:w="851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2158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Kromik Asit (Ton)</w:t>
            </w:r>
          </w:p>
        </w:tc>
        <w:tc>
          <w:tcPr>
            <w:tcW w:w="851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Sodium Sulphate (Tons)</w:t>
            </w: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Basic Chromium Sulphate (Tons)</w:t>
            </w: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53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Resintan M (Tons)</w:t>
            </w:r>
          </w:p>
        </w:tc>
        <w:tc>
          <w:tcPr>
            <w:tcW w:w="851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Chromic Acid (Tons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851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993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30,633</w:t>
            </w:r>
          </w:p>
        </w:tc>
        <w:tc>
          <w:tcPr>
            <w:tcW w:w="850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100</w:t>
            </w:r>
          </w:p>
        </w:tc>
        <w:tc>
          <w:tcPr>
            <w:tcW w:w="1276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54.720</w:t>
            </w:r>
          </w:p>
        </w:tc>
        <w:tc>
          <w:tcPr>
            <w:tcW w:w="850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100</w:t>
            </w:r>
          </w:p>
        </w:tc>
        <w:tc>
          <w:tcPr>
            <w:tcW w:w="953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129</w:t>
            </w:r>
          </w:p>
        </w:tc>
        <w:tc>
          <w:tcPr>
            <w:tcW w:w="851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100</w:t>
            </w:r>
          </w:p>
        </w:tc>
        <w:tc>
          <w:tcPr>
            <w:tcW w:w="992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6.657   </w:t>
            </w:r>
          </w:p>
        </w:tc>
        <w:tc>
          <w:tcPr>
            <w:tcW w:w="851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88</w:t>
            </w:r>
          </w:p>
        </w:tc>
        <w:tc>
          <w:tcPr>
            <w:tcW w:w="992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993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48.248</w:t>
            </w:r>
          </w:p>
        </w:tc>
        <w:tc>
          <w:tcPr>
            <w:tcW w:w="850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</w:t>
            </w:r>
          </w:p>
        </w:tc>
        <w:tc>
          <w:tcPr>
            <w:tcW w:w="1276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58.174</w:t>
            </w:r>
          </w:p>
        </w:tc>
        <w:tc>
          <w:tcPr>
            <w:tcW w:w="850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119</w:t>
            </w:r>
          </w:p>
        </w:tc>
        <w:tc>
          <w:tcPr>
            <w:tcW w:w="953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83</w:t>
            </w:r>
          </w:p>
        </w:tc>
        <w:tc>
          <w:tcPr>
            <w:tcW w:w="851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100</w:t>
            </w:r>
          </w:p>
        </w:tc>
        <w:tc>
          <w:tcPr>
            <w:tcW w:w="992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10.573</w:t>
            </w:r>
          </w:p>
        </w:tc>
        <w:tc>
          <w:tcPr>
            <w:tcW w:w="851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</w:t>
            </w:r>
          </w:p>
        </w:tc>
        <w:tc>
          <w:tcPr>
            <w:tcW w:w="992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15897">
      <w:pPr>
        <w:rPr>
          <w:rFonts w:ascii="Arial" w:hAnsi="Arial"/>
          <w:i/>
          <w:sz w:val="16"/>
        </w:rPr>
      </w:pPr>
    </w:p>
    <w:p w:rsidR="00000000" w:rsidRDefault="0021589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1589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158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8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158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8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15897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1126"/>
        <w:gridCol w:w="992"/>
        <w:gridCol w:w="1142"/>
        <w:gridCol w:w="992"/>
        <w:gridCol w:w="992"/>
        <w:gridCol w:w="992"/>
        <w:gridCol w:w="99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Karbonat (Ton)</w:t>
            </w:r>
          </w:p>
        </w:tc>
        <w:tc>
          <w:tcPr>
            <w:tcW w:w="1126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</w:t>
            </w:r>
            <w:r>
              <w:rPr>
                <w:rFonts w:ascii="Arial" w:hAnsi="Arial"/>
                <w:b/>
                <w:sz w:val="16"/>
              </w:rPr>
              <w:t>karbonat (Ton)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Silikat (Ton)</w:t>
            </w:r>
          </w:p>
        </w:tc>
        <w:tc>
          <w:tcPr>
            <w:tcW w:w="114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bikromat (Ton)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Sülfür (Ton)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Tankrom (Ton)</w:t>
            </w:r>
          </w:p>
        </w:tc>
        <w:tc>
          <w:tcPr>
            <w:tcW w:w="993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(Ton)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Kromik Asit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Carbonate (Tons)</w:t>
            </w:r>
          </w:p>
        </w:tc>
        <w:tc>
          <w:tcPr>
            <w:tcW w:w="1126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Bicarbonate (Tons)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Silicate (Tons)</w:t>
            </w:r>
          </w:p>
        </w:tc>
        <w:tc>
          <w:tcPr>
            <w:tcW w:w="114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Dichromate (Tons)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Su</w:t>
            </w:r>
            <w:r>
              <w:rPr>
                <w:rFonts w:ascii="Arial" w:hAnsi="Arial"/>
                <w:b/>
                <w:sz w:val="16"/>
              </w:rPr>
              <w:t>lphide (Tons)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Sulphate (Tons)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Basic Chromium Sulphate (Tons)</w:t>
            </w:r>
          </w:p>
        </w:tc>
        <w:tc>
          <w:tcPr>
            <w:tcW w:w="993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(Tons)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Chromic Acid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885.726</w:t>
            </w:r>
          </w:p>
        </w:tc>
        <w:tc>
          <w:tcPr>
            <w:tcW w:w="1126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85.163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32.481</w:t>
            </w:r>
          </w:p>
        </w:tc>
        <w:tc>
          <w:tcPr>
            <w:tcW w:w="114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10.400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8.724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25.479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47.402</w:t>
            </w:r>
          </w:p>
        </w:tc>
        <w:tc>
          <w:tcPr>
            <w:tcW w:w="993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10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886.648</w:t>
            </w:r>
          </w:p>
        </w:tc>
        <w:tc>
          <w:tcPr>
            <w:tcW w:w="1126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80.825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32.871</w:t>
            </w:r>
          </w:p>
        </w:tc>
        <w:tc>
          <w:tcPr>
            <w:tcW w:w="114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12.432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5.142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48.845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55.108</w:t>
            </w:r>
          </w:p>
        </w:tc>
        <w:tc>
          <w:tcPr>
            <w:tcW w:w="993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72</w:t>
            </w: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10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26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4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vAlign w:val="bottom"/>
          </w:tcPr>
          <w:p w:rsidR="00000000" w:rsidRDefault="00215897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215897">
      <w:pPr>
        <w:rPr>
          <w:rFonts w:ascii="Arial" w:hAnsi="Arial"/>
          <w:sz w:val="16"/>
        </w:rPr>
      </w:pPr>
    </w:p>
    <w:p w:rsidR="00000000" w:rsidRDefault="002158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8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158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8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1589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10" w:type="dxa"/>
          </w:tcPr>
          <w:p w:rsidR="00000000" w:rsidRDefault="00215897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15897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215897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215897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21589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44.908.928.077.713</w:t>
            </w:r>
          </w:p>
          <w:p w:rsidR="00000000" w:rsidRDefault="0021589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37.863.933</w:t>
            </w:r>
          </w:p>
        </w:tc>
        <w:tc>
          <w:tcPr>
            <w:tcW w:w="2410" w:type="dxa"/>
          </w:tcPr>
          <w:p w:rsidR="00000000" w:rsidRDefault="0021589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985" w:type="dxa"/>
          </w:tcPr>
          <w:p w:rsidR="00000000" w:rsidRDefault="0021589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110.970.639.368.381</w:t>
            </w:r>
          </w:p>
          <w:p w:rsidR="00000000" w:rsidRDefault="0021589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74.686.863</w:t>
            </w:r>
          </w:p>
        </w:tc>
        <w:tc>
          <w:tcPr>
            <w:tcW w:w="2269" w:type="dxa"/>
          </w:tcPr>
          <w:p w:rsidR="00000000" w:rsidRDefault="0021589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21589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60.989.756.342.346</w:t>
            </w:r>
          </w:p>
          <w:p w:rsidR="00000000" w:rsidRDefault="0021589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39.855.385</w:t>
            </w:r>
          </w:p>
        </w:tc>
        <w:tc>
          <w:tcPr>
            <w:tcW w:w="2410" w:type="dxa"/>
          </w:tcPr>
          <w:p w:rsidR="00000000" w:rsidRDefault="0021589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985" w:type="dxa"/>
          </w:tcPr>
          <w:p w:rsidR="00000000" w:rsidRDefault="0021589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118.528.833.902.553</w:t>
            </w:r>
          </w:p>
          <w:p w:rsidR="00000000" w:rsidRDefault="0021589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78.779.974</w:t>
            </w:r>
          </w:p>
        </w:tc>
        <w:tc>
          <w:tcPr>
            <w:tcW w:w="2269" w:type="dxa"/>
          </w:tcPr>
          <w:p w:rsidR="00000000" w:rsidRDefault="00215897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89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10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1589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21589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158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158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1589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158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1589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589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ate -</w:t>
            </w:r>
          </w:p>
        </w:tc>
        <w:tc>
          <w:tcPr>
            <w:tcW w:w="1843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589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5897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MERSİN LİMANI SİLO PROJESİ</w:t>
            </w:r>
          </w:p>
          <w:p w:rsidR="00000000" w:rsidRDefault="00215897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(Silo Project at Mersin Port)</w:t>
            </w:r>
          </w:p>
        </w:tc>
        <w:tc>
          <w:tcPr>
            <w:tcW w:w="2268" w:type="dxa"/>
          </w:tcPr>
          <w:p w:rsidR="00000000" w:rsidRDefault="00215897">
            <w:pPr>
              <w:ind w:left="111" w:right="312" w:hanging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25.01.2002-Haziran2003</w:t>
            </w:r>
          </w:p>
        </w:tc>
        <w:tc>
          <w:tcPr>
            <w:tcW w:w="1843" w:type="dxa"/>
          </w:tcPr>
          <w:p w:rsidR="00000000" w:rsidRDefault="0021589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4.792.616</w:t>
            </w:r>
          </w:p>
        </w:tc>
        <w:tc>
          <w:tcPr>
            <w:tcW w:w="1701" w:type="dxa"/>
          </w:tcPr>
          <w:p w:rsidR="00000000" w:rsidRDefault="0021589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2.108.751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5897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DESTİLASYON SİST</w:t>
            </w:r>
            <w:r>
              <w:rPr>
                <w:rFonts w:ascii="Arial" w:hAnsi="Arial"/>
                <w:color w:val="000000"/>
                <w:sz w:val="16"/>
              </w:rPr>
              <w:t>EMİ YENİLENMESİ</w:t>
            </w:r>
          </w:p>
          <w:p w:rsidR="00000000" w:rsidRDefault="00215897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(Distillation System Reconstruction)</w:t>
            </w:r>
          </w:p>
        </w:tc>
        <w:tc>
          <w:tcPr>
            <w:tcW w:w="2268" w:type="dxa"/>
          </w:tcPr>
          <w:p w:rsidR="00000000" w:rsidRDefault="00215897">
            <w:pPr>
              <w:ind w:left="111" w:right="312" w:hanging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28.02.2002-Kasım 2003</w:t>
            </w:r>
          </w:p>
        </w:tc>
        <w:tc>
          <w:tcPr>
            <w:tcW w:w="1843" w:type="dxa"/>
          </w:tcPr>
          <w:p w:rsidR="00000000" w:rsidRDefault="0021589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4.576.611</w:t>
            </w:r>
          </w:p>
        </w:tc>
        <w:tc>
          <w:tcPr>
            <w:tcW w:w="1701" w:type="dxa"/>
          </w:tcPr>
          <w:p w:rsidR="00000000" w:rsidRDefault="0021589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1.739.112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5897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</w:t>
            </w:r>
          </w:p>
          <w:p w:rsidR="00000000" w:rsidRDefault="00215897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(Modernization)</w:t>
            </w:r>
          </w:p>
        </w:tc>
        <w:tc>
          <w:tcPr>
            <w:tcW w:w="2268" w:type="dxa"/>
          </w:tcPr>
          <w:p w:rsidR="00000000" w:rsidRDefault="00215897">
            <w:pPr>
              <w:ind w:left="111" w:right="312" w:hanging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31.01.2002-Haziran2003</w:t>
            </w:r>
          </w:p>
        </w:tc>
        <w:tc>
          <w:tcPr>
            <w:tcW w:w="1843" w:type="dxa"/>
          </w:tcPr>
          <w:p w:rsidR="00000000" w:rsidRDefault="0021589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632.400</w:t>
            </w:r>
          </w:p>
        </w:tc>
        <w:tc>
          <w:tcPr>
            <w:tcW w:w="1701" w:type="dxa"/>
          </w:tcPr>
          <w:p w:rsidR="00000000" w:rsidRDefault="0021589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151.776</w:t>
            </w:r>
          </w:p>
        </w:tc>
      </w:tr>
    </w:tbl>
    <w:p w:rsidR="00000000" w:rsidRDefault="002158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8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</w:t>
            </w:r>
            <w:r>
              <w:rPr>
                <w:rFonts w:ascii="Arial" w:hAnsi="Arial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2158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8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1589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89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1589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89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1589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897">
            <w:pPr>
              <w:ind w:left="112" w:right="14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1-DENİZLİ CAM SANAYİİ  VE TİCARET A.Ş.(*)</w:t>
            </w:r>
          </w:p>
        </w:tc>
        <w:tc>
          <w:tcPr>
            <w:tcW w:w="2299" w:type="dxa"/>
          </w:tcPr>
          <w:p w:rsidR="00000000" w:rsidRDefault="00215897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973,043,4</w:t>
            </w:r>
            <w:r>
              <w:rPr>
                <w:rFonts w:ascii="Arial" w:hAnsi="Arial"/>
                <w:color w:val="000000"/>
                <w:sz w:val="16"/>
              </w:rPr>
              <w:t xml:space="preserve">74,500,-TL </w:t>
            </w:r>
          </w:p>
        </w:tc>
        <w:tc>
          <w:tcPr>
            <w:tcW w:w="2343" w:type="dxa"/>
            <w:vAlign w:val="center"/>
          </w:tcPr>
          <w:p w:rsidR="00000000" w:rsidRDefault="0021589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897">
            <w:pPr>
              <w:ind w:left="112" w:right="14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2-CAMİŞ ELEK. ÜR.  OTOPRODÜKTÖR GRUBU A.Ş.</w:t>
            </w:r>
          </w:p>
        </w:tc>
        <w:tc>
          <w:tcPr>
            <w:tcW w:w="2299" w:type="dxa"/>
          </w:tcPr>
          <w:p w:rsidR="00000000" w:rsidRDefault="00215897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16,660,800,000,-TL</w:t>
            </w:r>
          </w:p>
        </w:tc>
        <w:tc>
          <w:tcPr>
            <w:tcW w:w="2343" w:type="dxa"/>
            <w:vAlign w:val="center"/>
          </w:tcPr>
          <w:p w:rsidR="00000000" w:rsidRDefault="0021589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897">
            <w:pPr>
              <w:ind w:left="112" w:right="14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3-OXYVİT KİMYA SANAYİİ  VE TİCARET A.Ş.</w:t>
            </w:r>
          </w:p>
        </w:tc>
        <w:tc>
          <w:tcPr>
            <w:tcW w:w="2299" w:type="dxa"/>
          </w:tcPr>
          <w:p w:rsidR="00000000" w:rsidRDefault="00215897">
            <w:pPr>
              <w:ind w:left="112" w:right="179" w:hanging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1,474,000,000,000,-TL</w:t>
            </w:r>
          </w:p>
        </w:tc>
        <w:tc>
          <w:tcPr>
            <w:tcW w:w="2343" w:type="dxa"/>
            <w:vAlign w:val="center"/>
          </w:tcPr>
          <w:p w:rsidR="00000000" w:rsidRDefault="0021589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44</w:t>
            </w:r>
          </w:p>
          <w:p w:rsidR="00000000" w:rsidRDefault="0021589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897">
            <w:pPr>
              <w:ind w:left="112" w:right="14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4-PAŞABAHÇE CAM SANAYİİ VE TİCARET A.Ş.(**)</w:t>
            </w:r>
          </w:p>
        </w:tc>
        <w:tc>
          <w:tcPr>
            <w:tcW w:w="2299" w:type="dxa"/>
          </w:tcPr>
          <w:p w:rsidR="00000000" w:rsidRDefault="00215897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6,499,274</w:t>
            </w:r>
            <w:r>
              <w:rPr>
                <w:rFonts w:ascii="Arial" w:hAnsi="Arial"/>
                <w:color w:val="000000"/>
                <w:sz w:val="16"/>
              </w:rPr>
              <w:t>,000,000,-TL</w:t>
            </w:r>
          </w:p>
        </w:tc>
        <w:tc>
          <w:tcPr>
            <w:tcW w:w="2343" w:type="dxa"/>
            <w:vAlign w:val="center"/>
          </w:tcPr>
          <w:p w:rsidR="00000000" w:rsidRDefault="0021589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897">
            <w:pPr>
              <w:ind w:left="112" w:right="14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5-SOLVAY ŞİŞECAM HOLDİNG A.G. (75.920.- EURO)</w:t>
            </w:r>
          </w:p>
        </w:tc>
        <w:tc>
          <w:tcPr>
            <w:tcW w:w="2299" w:type="dxa"/>
          </w:tcPr>
          <w:p w:rsidR="00000000" w:rsidRDefault="00215897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8,024,473,558,323,-TL</w:t>
            </w:r>
          </w:p>
        </w:tc>
        <w:tc>
          <w:tcPr>
            <w:tcW w:w="2343" w:type="dxa"/>
            <w:vAlign w:val="center"/>
          </w:tcPr>
          <w:p w:rsidR="00000000" w:rsidRDefault="0021589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897">
            <w:pPr>
              <w:ind w:left="112" w:right="14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6-ŞİŞECAM BULGARİA LTD. (5.000.-BGL)</w:t>
            </w:r>
          </w:p>
        </w:tc>
        <w:tc>
          <w:tcPr>
            <w:tcW w:w="2299" w:type="dxa"/>
          </w:tcPr>
          <w:p w:rsidR="00000000" w:rsidRDefault="00215897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489,735,666,-TL</w:t>
            </w:r>
          </w:p>
        </w:tc>
        <w:tc>
          <w:tcPr>
            <w:tcW w:w="2343" w:type="dxa"/>
            <w:vAlign w:val="center"/>
          </w:tcPr>
          <w:p w:rsidR="00000000" w:rsidRDefault="00215897">
            <w:pPr>
              <w:ind w:right="5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89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21589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215897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15897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215897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2158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(*)</w:t>
      </w:r>
      <w:r>
        <w:rPr>
          <w:rFonts w:ascii="Arial" w:hAnsi="Arial"/>
          <w:color w:val="000000"/>
          <w:sz w:val="16"/>
        </w:rPr>
        <w:t xml:space="preserve">Denizli Cam San. Ve Tic. A.Ş. istirak payı nominal değeridir.Kayıtlı değer ise 1.008.478.-Mio </w:t>
      </w:r>
      <w:r>
        <w:rPr>
          <w:rFonts w:ascii="Arial" w:hAnsi="Arial"/>
          <w:color w:val="000000"/>
          <w:sz w:val="16"/>
        </w:rPr>
        <w:t>TL dir.</w:t>
      </w:r>
    </w:p>
    <w:p w:rsidR="00000000" w:rsidRDefault="002158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(*)</w:t>
      </w:r>
      <w:r>
        <w:rPr>
          <w:rFonts w:ascii="Arial" w:hAnsi="Arial"/>
          <w:color w:val="000000"/>
          <w:sz w:val="16"/>
        </w:rPr>
        <w:t>Paşabahçe Cam Sanayii Ve Ticaret A.Ş.. istirak payı nominal değeridir.Kayıtlı değer ise 16.150.000-Mio TL dir.</w:t>
      </w:r>
    </w:p>
    <w:p w:rsidR="00000000" w:rsidRDefault="002158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21589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8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158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8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215897">
      <w:pPr>
        <w:rPr>
          <w:rFonts w:ascii="Arial" w:hAnsi="Arial"/>
          <w:sz w:val="16"/>
        </w:rPr>
      </w:pPr>
    </w:p>
    <w:p w:rsidR="00000000" w:rsidRDefault="00215897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>.</w:t>
      </w:r>
    </w:p>
    <w:tbl>
      <w:tblPr>
        <w:tblW w:w="0" w:type="auto"/>
        <w:tblInd w:w="180" w:type="dxa"/>
        <w:tblLayout w:type="fixed"/>
        <w:tblLook w:val="0000" w:firstRow="0" w:lastRow="0" w:firstColumn="0" w:lastColumn="0" w:noHBand="0" w:noVBand="0"/>
      </w:tblPr>
      <w:tblGrid>
        <w:gridCol w:w="4320"/>
        <w:gridCol w:w="270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</w:tcPr>
          <w:p w:rsidR="00000000" w:rsidRDefault="00215897">
            <w:pPr>
              <w:pStyle w:val="Heading4"/>
            </w:pPr>
            <w:r>
              <w:t>Ortak Ünvanı</w:t>
            </w:r>
          </w:p>
        </w:tc>
        <w:tc>
          <w:tcPr>
            <w:tcW w:w="2700" w:type="dxa"/>
          </w:tcPr>
          <w:p w:rsidR="00000000" w:rsidRDefault="00215897">
            <w:pPr>
              <w:spacing w:line="360" w:lineRule="auto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215897">
            <w:pPr>
              <w:spacing w:line="360" w:lineRule="auto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95"/>
        </w:trPr>
        <w:tc>
          <w:tcPr>
            <w:tcW w:w="4320" w:type="dxa"/>
          </w:tcPr>
          <w:p w:rsidR="00000000" w:rsidRDefault="00215897">
            <w:pPr>
              <w:pStyle w:val="Heading3"/>
              <w:keepNext w:val="0"/>
              <w:spacing w:line="360" w:lineRule="auto"/>
            </w:pPr>
            <w:r>
              <w:t>Share Holders</w:t>
            </w:r>
          </w:p>
        </w:tc>
        <w:tc>
          <w:tcPr>
            <w:tcW w:w="2700" w:type="dxa"/>
          </w:tcPr>
          <w:p w:rsidR="00000000" w:rsidRDefault="00215897">
            <w:pPr>
              <w:spacing w:line="360" w:lineRule="auto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215897">
            <w:pPr>
              <w:spacing w:line="360" w:lineRule="auto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</w:tcPr>
          <w:p w:rsidR="00000000" w:rsidRDefault="00215897">
            <w:pPr>
              <w:spacing w:line="360" w:lineRule="auto"/>
              <w:ind w:right="28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2700" w:type="dxa"/>
            <w:vAlign w:val="bottom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17.937.487</w:t>
            </w:r>
          </w:p>
        </w:tc>
        <w:tc>
          <w:tcPr>
            <w:tcW w:w="1843" w:type="dxa"/>
            <w:vAlign w:val="bottom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28,64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</w:tcPr>
          <w:p w:rsidR="00000000" w:rsidRDefault="00215897">
            <w:pPr>
              <w:spacing w:line="360" w:lineRule="auto"/>
              <w:ind w:right="28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T.ŞİŞE VE CAM FAB. A.Ş.</w:t>
            </w:r>
          </w:p>
        </w:tc>
        <w:tc>
          <w:tcPr>
            <w:tcW w:w="2700" w:type="dxa"/>
            <w:vAlign w:val="bottom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31.450.662</w:t>
            </w:r>
          </w:p>
        </w:tc>
        <w:tc>
          <w:tcPr>
            <w:tcW w:w="1843" w:type="dxa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</w:tcPr>
          <w:p w:rsidR="00000000" w:rsidRDefault="002158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line="360" w:lineRule="auto"/>
              <w:ind w:right="28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SİGORTA A.Ş.</w:t>
            </w:r>
          </w:p>
        </w:tc>
        <w:tc>
          <w:tcPr>
            <w:tcW w:w="2700" w:type="dxa"/>
            <w:vAlign w:val="bottom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8.328</w:t>
            </w:r>
          </w:p>
        </w:tc>
        <w:tc>
          <w:tcPr>
            <w:tcW w:w="1843" w:type="dxa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</w:tcPr>
          <w:p w:rsidR="00000000" w:rsidRDefault="002158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line="360" w:lineRule="auto"/>
              <w:ind w:right="28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ANONİM TÜRK SİG. ŞİRK.</w:t>
            </w:r>
          </w:p>
        </w:tc>
        <w:tc>
          <w:tcPr>
            <w:tcW w:w="2700" w:type="dxa"/>
            <w:vAlign w:val="bottom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6.073</w:t>
            </w:r>
          </w:p>
        </w:tc>
        <w:tc>
          <w:tcPr>
            <w:tcW w:w="1843" w:type="dxa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</w:tcPr>
          <w:p w:rsidR="00000000" w:rsidRDefault="002158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line="360" w:lineRule="auto"/>
              <w:ind w:right="28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SAN. A.Ş.</w:t>
            </w:r>
          </w:p>
        </w:tc>
        <w:tc>
          <w:tcPr>
            <w:tcW w:w="2700" w:type="dxa"/>
            <w:vAlign w:val="bottom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29.933</w:t>
            </w:r>
          </w:p>
        </w:tc>
        <w:tc>
          <w:tcPr>
            <w:tcW w:w="1843" w:type="dxa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</w:tcPr>
          <w:p w:rsidR="00000000" w:rsidRDefault="002158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line="360" w:lineRule="auto"/>
              <w:ind w:right="28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2700" w:type="dxa"/>
            <w:vAlign w:val="bottom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23.913</w:t>
            </w:r>
          </w:p>
        </w:tc>
        <w:tc>
          <w:tcPr>
            <w:tcW w:w="1843" w:type="dxa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</w:tcPr>
          <w:p w:rsidR="00000000" w:rsidRDefault="002158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line="360" w:lineRule="auto"/>
              <w:ind w:right="28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CAMSAR SAN. ARA MAL. PAZ. A.Ş.</w:t>
            </w:r>
          </w:p>
        </w:tc>
        <w:tc>
          <w:tcPr>
            <w:tcW w:w="2700" w:type="dxa"/>
            <w:vAlign w:val="bottom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446.994</w:t>
            </w:r>
          </w:p>
        </w:tc>
        <w:tc>
          <w:tcPr>
            <w:tcW w:w="1843" w:type="dxa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</w:tcPr>
          <w:p w:rsidR="00000000" w:rsidRDefault="002158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line="360" w:lineRule="auto"/>
              <w:ind w:right="28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2700" w:type="dxa"/>
            <w:vAlign w:val="bottom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166.715</w:t>
            </w:r>
          </w:p>
        </w:tc>
        <w:tc>
          <w:tcPr>
            <w:tcW w:w="1843" w:type="dxa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</w:tcPr>
          <w:p w:rsidR="00000000" w:rsidRDefault="002158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line="360" w:lineRule="auto"/>
              <w:ind w:right="28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(HALKA AÇIK KISIM)</w:t>
            </w:r>
          </w:p>
        </w:tc>
        <w:tc>
          <w:tcPr>
            <w:tcW w:w="2700" w:type="dxa"/>
            <w:vAlign w:val="bottom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12.559.895</w:t>
            </w:r>
          </w:p>
        </w:tc>
        <w:tc>
          <w:tcPr>
            <w:tcW w:w="1843" w:type="dxa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</w:tcPr>
          <w:p w:rsidR="00000000" w:rsidRDefault="0021589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line="360" w:lineRule="auto"/>
              <w:ind w:right="28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</w:t>
            </w:r>
            <w:r>
              <w:rPr>
                <w:rFonts w:ascii="Arial" w:hAnsi="Arial"/>
                <w:b/>
                <w:sz w:val="16"/>
              </w:rPr>
              <w:t xml:space="preserve">L </w:t>
            </w:r>
          </w:p>
        </w:tc>
        <w:tc>
          <w:tcPr>
            <w:tcW w:w="2700" w:type="dxa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62.630.000</w:t>
            </w:r>
          </w:p>
        </w:tc>
        <w:tc>
          <w:tcPr>
            <w:tcW w:w="1843" w:type="dxa"/>
          </w:tcPr>
          <w:p w:rsidR="00000000" w:rsidRDefault="00215897">
            <w:pPr>
              <w:spacing w:line="360" w:lineRule="auto"/>
              <w:ind w:right="146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21589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D2D"/>
    <w:multiLevelType w:val="hybridMultilevel"/>
    <w:tmpl w:val="6C080A8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1E1DFD"/>
    <w:multiLevelType w:val="hybridMultilevel"/>
    <w:tmpl w:val="1E5AE05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7381280">
    <w:abstractNumId w:val="1"/>
  </w:num>
  <w:num w:numId="2" w16cid:durableId="173042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5897"/>
    <w:rsid w:val="0021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15841-3DEA-43A4-A67D-A3B0A26C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2003-04-23T23:22:00Z</cp:lastPrinted>
  <dcterms:created xsi:type="dcterms:W3CDTF">2022-09-01T21:31:00Z</dcterms:created>
  <dcterms:modified xsi:type="dcterms:W3CDTF">2022-09-01T21:31:00Z</dcterms:modified>
</cp:coreProperties>
</file>