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536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FİNANSAL KİRALAMA A.Ş.</w:t>
            </w:r>
          </w:p>
        </w:tc>
      </w:tr>
    </w:tbl>
    <w:p w:rsidR="00000000" w:rsidRDefault="008F53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Aydınevler Mh. İnönü Cad. Gökçe Sok. GSD Binası No:14 MALTEPE/İSTANBUL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YASEF COYAS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pStyle w:val="Heading2"/>
            </w:pPr>
            <w:r>
              <w:t>TELEFON NO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0.216.489 97 85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36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F5368">
      <w:pPr>
        <w:rPr>
          <w:rFonts w:ascii="Arial" w:hAnsi="Arial"/>
          <w:sz w:val="16"/>
        </w:rPr>
      </w:pPr>
    </w:p>
    <w:p w:rsidR="00000000" w:rsidRDefault="008F5368">
      <w:pPr>
        <w:rPr>
          <w:rFonts w:ascii="Arial" w:hAnsi="Arial"/>
          <w:sz w:val="16"/>
        </w:rPr>
      </w:pPr>
    </w:p>
    <w:p w:rsidR="00000000" w:rsidRDefault="008F53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3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01.01.2002- 31.12.2002 döneminde yaptığı işlerin sektörel dağılımı aşağıda gösterilmiştir.</w:t>
            </w:r>
          </w:p>
        </w:tc>
        <w:tc>
          <w:tcPr>
            <w:tcW w:w="1134" w:type="dxa"/>
          </w:tcPr>
          <w:p w:rsidR="00000000" w:rsidRDefault="008F53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3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</w:t>
            </w:r>
            <w:r>
              <w:rPr>
                <w:rFonts w:ascii="Arial" w:hAnsi="Arial"/>
                <w:i/>
                <w:sz w:val="16"/>
              </w:rPr>
              <w:t>n of the Company’s turnover as of 01.01.2002 and 31.12.2002 is shown below.</w:t>
            </w:r>
          </w:p>
        </w:tc>
      </w:tr>
    </w:tbl>
    <w:p w:rsidR="00000000" w:rsidRDefault="008F5368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119"/>
        <w:gridCol w:w="127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:rsidR="00000000" w:rsidRDefault="008F53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5" w:type="dxa"/>
          </w:tcPr>
          <w:p w:rsidR="00000000" w:rsidRDefault="008F536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8F536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3" w:type="dxa"/>
          </w:tcPr>
          <w:p w:rsidR="00000000" w:rsidRDefault="008F536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8F536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(Textıle)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43,43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11.600.326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TURİZM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(Tourısm)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12,67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3.383.258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FİNANSAL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(Financial)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1.739.853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pStyle w:val="Heading2"/>
              <w:rPr>
                <w:b w:val="0"/>
                <w:i/>
              </w:rPr>
            </w:pPr>
            <w:r>
              <w:rPr>
                <w:b w:val="0"/>
                <w:i/>
              </w:rPr>
              <w:t>MEDYA, BASIN VE YAYIN</w:t>
            </w:r>
          </w:p>
          <w:p w:rsidR="00000000" w:rsidRDefault="008F536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(Media, Press &amp; Printing)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5,46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1.459.147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4,99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1.333.954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ÜRETİM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(Metal Productıon)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1.266.459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ELEKTRONİK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(Electronıcs)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1.008.085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ve İNŞAAT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(Buıldıng &amp; Contractıng)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3,71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991.423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İLGİSAYAR VE OFİS EKİP. ÜRETİMİ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(Computers, Offıce Equıp. Productıon)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2,77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738.675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KİMAYASAL ÜRETİM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(Chemistry Production)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720.923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ve YAN ÜRÜNLERİ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(Petroleum Derıvatatıves)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548.770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MAKİNE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(Machınery)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502.346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MOBİLYA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(Furniture)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,39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371.155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OTOMOBİL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(Automotıve)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PAZARLAMA, DAĞITIM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(Marketıng,Dıstrıbutıon)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167.421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MADENCİLİK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(Mınıng)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SAĞLIK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DEMİR ve ÇELİK ÜRETİMİ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(Iron &amp; Steal Production)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TÜTÜN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(Tobacco)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ÇİMENTO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(Cement)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88.663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GEMİ TAŞIMACILIĞI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(Shıppıng Transportatıon)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KARA NAKLİYATI </w:t>
            </w:r>
          </w:p>
          <w:p w:rsidR="00000000" w:rsidRDefault="008F536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F5368">
            <w:pPr>
              <w:pStyle w:val="Heading3"/>
              <w:jc w:val="left"/>
              <w:rPr>
                <w:i w:val="0"/>
              </w:rPr>
            </w:pPr>
            <w:r>
              <w:rPr>
                <w:i w:val="0"/>
              </w:rPr>
              <w:t>TOPLAM</w:t>
            </w:r>
          </w:p>
        </w:tc>
        <w:tc>
          <w:tcPr>
            <w:tcW w:w="1275" w:type="dxa"/>
          </w:tcPr>
          <w:p w:rsidR="00000000" w:rsidRDefault="008F5368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843" w:type="dxa"/>
          </w:tcPr>
          <w:p w:rsidR="00000000" w:rsidRDefault="008F5368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26.709.787</w:t>
            </w:r>
          </w:p>
        </w:tc>
      </w:tr>
    </w:tbl>
    <w:p w:rsidR="00000000" w:rsidRDefault="008F5368">
      <w:pPr>
        <w:rPr>
          <w:rFonts w:ascii="Arial" w:hAnsi="Arial"/>
          <w:sz w:val="16"/>
        </w:rPr>
      </w:pPr>
    </w:p>
    <w:p w:rsidR="00000000" w:rsidRDefault="008F5368">
      <w:pPr>
        <w:pStyle w:val="BodyTextIndent3"/>
        <w:tabs>
          <w:tab w:val="left" w:pos="567"/>
        </w:tabs>
        <w:ind w:left="0" w:firstLine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Rant Finansal Kiralama A.Ş. ile Tekstil Finansal Kiralama A.Ş.  9 Eylül 2002 tarihinde </w:t>
      </w:r>
      <w:r>
        <w:rPr>
          <w:rFonts w:ascii="Arial" w:hAnsi="Arial"/>
          <w:sz w:val="16"/>
        </w:rPr>
        <w:t>devralma suretiyle Rant Finansal Kiralama A.Ş. ünvanı altında birleşmiştir. Rant Finansal Kiralama A.Ş. olan şirket ünvanı, 17 Ekim 2002 tarihinde Tekstil Finansal Kiralama A.Ş. olarak değişmiştir. Şirket'in 01.01.2002- 31.12.2002 döneminde yaptığı işlerin</w:t>
      </w:r>
      <w:r>
        <w:rPr>
          <w:rFonts w:ascii="Arial" w:hAnsi="Arial"/>
          <w:sz w:val="16"/>
        </w:rPr>
        <w:t xml:space="preserve"> sektörel dağılımı devir yoluyla alınan Tekstil Finansal Kiralama A.Ş.’nin 01.01.2002-09.09.2002 döneminde yaptığı işleleri de içermektedir.</w:t>
      </w:r>
    </w:p>
    <w:p w:rsidR="00000000" w:rsidRDefault="008F5368">
      <w:pPr>
        <w:rPr>
          <w:rFonts w:ascii="Arial" w:hAnsi="Arial"/>
          <w:sz w:val="16"/>
        </w:rPr>
      </w:pPr>
    </w:p>
    <w:p w:rsidR="00000000" w:rsidRDefault="008F5368">
      <w:pPr>
        <w:rPr>
          <w:rFonts w:ascii="Arial" w:hAnsi="Arial"/>
          <w:sz w:val="16"/>
        </w:rPr>
      </w:pPr>
    </w:p>
    <w:p w:rsidR="00000000" w:rsidRDefault="008F53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3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F53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3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8F536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F53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F53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F53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F53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Factoring Hizmetleri A.Ş.</w:t>
            </w:r>
          </w:p>
        </w:tc>
        <w:tc>
          <w:tcPr>
            <w:tcW w:w="2299" w:type="dxa"/>
          </w:tcPr>
          <w:p w:rsidR="00000000" w:rsidRDefault="008F53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8.100.000.000.000,-TL</w:t>
            </w:r>
          </w:p>
        </w:tc>
        <w:tc>
          <w:tcPr>
            <w:tcW w:w="2342" w:type="dxa"/>
          </w:tcPr>
          <w:p w:rsidR="00000000" w:rsidRDefault="008F53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Sigorta Ar</w:t>
            </w:r>
            <w:r>
              <w:rPr>
                <w:rFonts w:ascii="Arial" w:hAnsi="Arial"/>
                <w:color w:val="000000"/>
                <w:sz w:val="16"/>
              </w:rPr>
              <w:t>acılık Hizmetleri A.Ş.</w:t>
            </w:r>
          </w:p>
        </w:tc>
        <w:tc>
          <w:tcPr>
            <w:tcW w:w="2299" w:type="dxa"/>
          </w:tcPr>
          <w:p w:rsidR="00000000" w:rsidRDefault="008F53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342" w:type="dxa"/>
          </w:tcPr>
          <w:p w:rsidR="00000000" w:rsidRDefault="008F53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Yatırım Bankası A.Ş.</w:t>
            </w:r>
          </w:p>
        </w:tc>
        <w:tc>
          <w:tcPr>
            <w:tcW w:w="2299" w:type="dxa"/>
          </w:tcPr>
          <w:p w:rsidR="00000000" w:rsidRDefault="008F53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15.000.000.000.000,-TL</w:t>
            </w:r>
          </w:p>
        </w:tc>
        <w:tc>
          <w:tcPr>
            <w:tcW w:w="2342" w:type="dxa"/>
          </w:tcPr>
          <w:p w:rsidR="00000000" w:rsidRDefault="008F53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Dış Ticaret A.Ş.</w:t>
            </w:r>
          </w:p>
        </w:tc>
        <w:tc>
          <w:tcPr>
            <w:tcW w:w="2299" w:type="dxa"/>
          </w:tcPr>
          <w:p w:rsidR="00000000" w:rsidRDefault="008F53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8.000.000.000.000,-TL</w:t>
            </w:r>
          </w:p>
        </w:tc>
        <w:tc>
          <w:tcPr>
            <w:tcW w:w="2342" w:type="dxa"/>
          </w:tcPr>
          <w:p w:rsidR="00000000" w:rsidRDefault="008F53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Factoring Hizmetleri A.Ş.</w:t>
            </w:r>
          </w:p>
        </w:tc>
        <w:tc>
          <w:tcPr>
            <w:tcW w:w="2299" w:type="dxa"/>
          </w:tcPr>
          <w:p w:rsidR="00000000" w:rsidRDefault="008F53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2.000.000.000.000,-TL</w:t>
            </w:r>
          </w:p>
        </w:tc>
        <w:tc>
          <w:tcPr>
            <w:tcW w:w="2342" w:type="dxa"/>
          </w:tcPr>
          <w:p w:rsidR="00000000" w:rsidRDefault="008F53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Menkul Değerler A.Ş.</w:t>
            </w:r>
          </w:p>
        </w:tc>
        <w:tc>
          <w:tcPr>
            <w:tcW w:w="2299" w:type="dxa"/>
          </w:tcPr>
          <w:p w:rsidR="00000000" w:rsidRDefault="008F53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</w:t>
            </w:r>
            <w:r>
              <w:rPr>
                <w:rFonts w:ascii="Arial" w:hAnsi="Arial"/>
                <w:color w:val="000000"/>
                <w:sz w:val="16"/>
              </w:rPr>
              <w:t>00,-TL</w:t>
            </w:r>
          </w:p>
        </w:tc>
        <w:tc>
          <w:tcPr>
            <w:tcW w:w="2342" w:type="dxa"/>
          </w:tcPr>
          <w:p w:rsidR="00000000" w:rsidRDefault="008F53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Textile Bank Off Shore Ltd</w:t>
            </w:r>
          </w:p>
        </w:tc>
        <w:tc>
          <w:tcPr>
            <w:tcW w:w="2299" w:type="dxa"/>
          </w:tcPr>
          <w:p w:rsidR="00000000" w:rsidRDefault="008F53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6.485.000,-USD</w:t>
            </w:r>
          </w:p>
        </w:tc>
        <w:tc>
          <w:tcPr>
            <w:tcW w:w="2342" w:type="dxa"/>
          </w:tcPr>
          <w:p w:rsidR="00000000" w:rsidRDefault="008F53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8F5368">
      <w:pPr>
        <w:rPr>
          <w:rFonts w:ascii="Arial" w:hAnsi="Arial"/>
          <w:color w:val="FF0000"/>
          <w:sz w:val="16"/>
        </w:rPr>
      </w:pPr>
    </w:p>
    <w:p w:rsidR="00000000" w:rsidRDefault="008F536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3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53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3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F536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F53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(Milyon TL)</w:t>
            </w:r>
          </w:p>
        </w:tc>
        <w:tc>
          <w:tcPr>
            <w:tcW w:w="2410" w:type="dxa"/>
          </w:tcPr>
          <w:p w:rsidR="00000000" w:rsidRDefault="008F53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53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F53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F53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Holding A.Ş.</w:t>
            </w:r>
          </w:p>
        </w:tc>
        <w:tc>
          <w:tcPr>
            <w:tcW w:w="1892" w:type="dxa"/>
          </w:tcPr>
          <w:p w:rsidR="00000000" w:rsidRDefault="008F53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5.445.116</w:t>
            </w:r>
          </w:p>
        </w:tc>
        <w:tc>
          <w:tcPr>
            <w:tcW w:w="2410" w:type="dxa"/>
          </w:tcPr>
          <w:p w:rsidR="00000000" w:rsidRDefault="008F53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8F53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4.553.775</w:t>
            </w:r>
          </w:p>
        </w:tc>
        <w:tc>
          <w:tcPr>
            <w:tcW w:w="2410" w:type="dxa"/>
          </w:tcPr>
          <w:p w:rsidR="00000000" w:rsidRDefault="008F53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53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8F53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1.109</w:t>
            </w:r>
          </w:p>
        </w:tc>
        <w:tc>
          <w:tcPr>
            <w:tcW w:w="2410" w:type="dxa"/>
          </w:tcPr>
          <w:p w:rsidR="00000000" w:rsidRDefault="008F53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53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F5368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8F5368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F5368">
      <w:pPr>
        <w:jc w:val="both"/>
        <w:rPr>
          <w:rFonts w:ascii="Arial" w:hAnsi="Arial"/>
          <w:sz w:val="16"/>
        </w:rPr>
      </w:pPr>
    </w:p>
    <w:p w:rsidR="00000000" w:rsidRDefault="008F536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448A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1918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5368"/>
    <w:rsid w:val="008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02DD1-A544-4391-984D-847AF880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ind w:right="-58"/>
      <w:jc w:val="right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3">
    <w:name w:val="Body Text Indent 3"/>
    <w:basedOn w:val="Normal"/>
    <w:semiHidden/>
    <w:pPr>
      <w:ind w:left="1242" w:hanging="675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2003-04-21T21:19:00Z</cp:lastPrinted>
  <dcterms:created xsi:type="dcterms:W3CDTF">2022-09-01T21:31:00Z</dcterms:created>
  <dcterms:modified xsi:type="dcterms:W3CDTF">2022-09-01T21:31:00Z</dcterms:modified>
</cp:coreProperties>
</file>