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33A2">
            <w:pPr>
              <w:pStyle w:val="Heading2"/>
            </w:pPr>
            <w:r>
              <w:t>ALFA MENKUL DEĞERLER A.Ş.</w:t>
            </w:r>
          </w:p>
        </w:tc>
      </w:tr>
    </w:tbl>
    <w:p w:rsidR="00000000" w:rsidRDefault="00C133A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08/01/1991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ŞİRKET, ALIM SATIM ARACILIĞI, MENKUL KIYMET AÇIĞA SATIŞ VE MENKUL KIYMETLERİN ÖDÜNÇ ALMA VE VERME İŞLEMLERİ İZİN BELGESİ, PORTFÖY YÖNETİCİLİĞİ, YATIRIM DA</w:t>
            </w:r>
            <w:r>
              <w:rPr>
                <w:rFonts w:ascii="Arial" w:hAnsi="Arial"/>
                <w:sz w:val="16"/>
              </w:rPr>
              <w:t>NIŞMANLIĞI, REPO VE TERS REPO TAAHHÜDÜ İLE ALIM SATIM VE HALKA ARZA ARACILIK YETKİ BELGELERİNE SAHİPTİR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</w:t>
            </w:r>
            <w:r>
              <w:rPr>
                <w:rFonts w:ascii="Arial" w:hAnsi="Arial"/>
                <w:color w:val="000000"/>
                <w:sz w:val="16"/>
              </w:rPr>
              <w:t>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BURAK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ÖMER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RİCHARD CHARLES JACKSON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352 60</w:t>
            </w:r>
            <w:r>
              <w:rPr>
                <w:rFonts w:ascii="Arial" w:hAnsi="Arial"/>
                <w:color w:val="000000"/>
                <w:sz w:val="16"/>
              </w:rPr>
              <w:t xml:space="preserve">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352 56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</w:t>
            </w:r>
            <w:r>
              <w:rPr>
                <w:rFonts w:ascii="Arial" w:hAnsi="Arial"/>
                <w:b/>
                <w:color w:val="000000"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5.100.470.000.000.-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KOT 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33A2">
      <w:pPr>
        <w:pStyle w:val="BodyText"/>
      </w:pPr>
    </w:p>
    <w:p w:rsidR="00000000" w:rsidRDefault="00C133A2">
      <w:pPr>
        <w:pStyle w:val="BodyText"/>
      </w:pPr>
    </w:p>
    <w:p w:rsidR="00000000" w:rsidRDefault="00C133A2">
      <w:pPr>
        <w:pStyle w:val="BodyText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3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C13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3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</w:t>
            </w:r>
            <w:r>
              <w:rPr>
                <w:rFonts w:ascii="Arial" w:hAnsi="Arial"/>
                <w:i/>
                <w:sz w:val="16"/>
              </w:rPr>
              <w:t>arketable securities of the Company for the last two years are shown below.</w:t>
            </w:r>
          </w:p>
        </w:tc>
      </w:tr>
    </w:tbl>
    <w:p w:rsidR="00000000" w:rsidRDefault="00C13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C133A2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2003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 xml:space="preserve">2002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182.031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34.250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</w:t>
            </w: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&amp; Bills)</w:t>
            </w:r>
          </w:p>
        </w:tc>
        <w:tc>
          <w:tcPr>
            <w:tcW w:w="1008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392.957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131.020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Diðer Menkul Kıymetler </w:t>
            </w:r>
          </w:p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1008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C133A2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574.988</w:t>
            </w:r>
          </w:p>
        </w:tc>
        <w:tc>
          <w:tcPr>
            <w:tcW w:w="1008" w:type="dxa"/>
          </w:tcPr>
          <w:p w:rsidR="00000000" w:rsidRDefault="00C133A2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165.270</w:t>
            </w:r>
          </w:p>
        </w:tc>
      </w:tr>
    </w:tbl>
    <w:p w:rsidR="00000000" w:rsidRDefault="00C133A2">
      <w:pPr>
        <w:rPr>
          <w:rFonts w:ascii="Arial" w:hAnsi="Arial"/>
          <w:sz w:val="18"/>
        </w:rPr>
      </w:pPr>
    </w:p>
    <w:p w:rsidR="00000000" w:rsidRDefault="00C133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33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3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3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133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3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C13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</w:t>
            </w:r>
            <w:r>
              <w:rPr>
                <w:rFonts w:ascii="Arial" w:hAnsi="Arial"/>
                <w:b/>
                <w:color w:val="000000"/>
                <w:sz w:val="16"/>
              </w:rPr>
              <w:t>ermayesi</w:t>
            </w:r>
          </w:p>
        </w:tc>
        <w:tc>
          <w:tcPr>
            <w:tcW w:w="2338" w:type="dxa"/>
          </w:tcPr>
          <w:p w:rsidR="00000000" w:rsidRDefault="00C13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3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C13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13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TAKAS VE SAKLAMA BANKASI AŞ.</w:t>
            </w:r>
          </w:p>
        </w:tc>
        <w:tc>
          <w:tcPr>
            <w:tcW w:w="1910" w:type="dxa"/>
          </w:tcPr>
          <w:p w:rsidR="00000000" w:rsidRDefault="00C13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 TL</w:t>
            </w:r>
          </w:p>
        </w:tc>
        <w:tc>
          <w:tcPr>
            <w:tcW w:w="2343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</w:tbl>
    <w:p w:rsidR="00000000" w:rsidRDefault="00C133A2">
      <w:pPr>
        <w:rPr>
          <w:rFonts w:ascii="Arial" w:hAnsi="Arial"/>
          <w:color w:val="FF0000"/>
          <w:sz w:val="16"/>
        </w:rPr>
      </w:pPr>
    </w:p>
    <w:p w:rsidR="00000000" w:rsidRDefault="00C133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33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3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3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C133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33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13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13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3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13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13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133A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CINGILLI HOLDİNG AŞ.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2.011.976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DEMİR FACTORİNG AŞ.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1.368.066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ASIM KARADENİZ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62.63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BURAK ÖZALP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AKSOY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ÖMER AKMAN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RİCHARD CHARLES JACKSON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CINGILLIOĞLU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41.849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CINGILLIOĞLU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66.998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CINGILLIOĞLU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68.844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SAFRON AMD PARTNERS LP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494.292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985.7</w:t>
            </w: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(4 KİŞİ)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3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C13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5.100.470</w:t>
            </w:r>
          </w:p>
        </w:tc>
        <w:tc>
          <w:tcPr>
            <w:tcW w:w="2410" w:type="dxa"/>
          </w:tcPr>
          <w:p w:rsidR="00000000" w:rsidRDefault="00C13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C133A2">
      <w:pPr>
        <w:jc w:val="both"/>
        <w:rPr>
          <w:rFonts w:ascii="Arial" w:hAnsi="Arial"/>
          <w:sz w:val="18"/>
        </w:rPr>
      </w:pPr>
    </w:p>
    <w:p w:rsidR="00000000" w:rsidRDefault="00C133A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979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3A2"/>
    <w:rsid w:val="00C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35D4D-4D34-44DB-A8F4-3E8B97BD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2022-09-01T21:32:00Z</dcterms:created>
  <dcterms:modified xsi:type="dcterms:W3CDTF">2022-09-01T21:32:00Z</dcterms:modified>
</cp:coreProperties>
</file>