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1BDD">
            <w:pPr>
              <w:pStyle w:val="Heading2"/>
            </w:pPr>
            <w:r>
              <w:t>ARENA BİLGİSAYAR SAN. VE TİC. A.Ş.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LTD. ŞTİ.  18.09.1991</w:t>
            </w:r>
          </w:p>
          <w:p w:rsidR="00000000" w:rsidRDefault="00721BD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SAN.VE TİC. AŞ.  07.03.1996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ŞİRKET, YURTİÇİ VE YURTDIŞI SATICILARDAN TEDARİK ETTİĞİ BİLGİSAYAR </w:t>
            </w:r>
            <w:r>
              <w:rPr>
                <w:rFonts w:ascii="Arial" w:hAnsi="Arial"/>
                <w:color w:val="000000"/>
                <w:sz w:val="16"/>
              </w:rPr>
              <w:t>DONANIMI, YAZILIM ÜRÜNLERİ, TÜKETİCİ ELEKTRONİĞİ VE YEDEK PARÇALARININ YURTİÇİNDE SATIŞ, DAĞITIM VE BAKIM-ONARIM HİZMETLERİNİ VERMEKTEDİR.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PURCHASES HARDWARE, SOFTWARE, INFORMATION TECHNOLOGY,  CONSUMER ELECTRONIC PRODUCT</w:t>
            </w:r>
            <w:r>
              <w:rPr>
                <w:rFonts w:ascii="Arial" w:hAnsi="Arial"/>
                <w:color w:val="000000"/>
                <w:sz w:val="16"/>
              </w:rPr>
              <w:t>S SOLD BOTH FROM DOMESTIC AND INTERNATIONAL SUPPLIERS AND SELLS THEM TO RESELLERS IN THE DOMESTIC TURKISH MARKET  THROUGH ITS DISTRIBUTION NETWORK.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96 KEMERBURGAZ-EYÜP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BETİL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UMUR SERTER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İZİ KOHEN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ALVİ MAZON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</w:t>
            </w:r>
            <w:r>
              <w:rPr>
                <w:rFonts w:ascii="Arial" w:hAnsi="Arial"/>
                <w:color w:val="000000"/>
                <w:sz w:val="16"/>
              </w:rPr>
              <w:t xml:space="preserve">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31.12.2003 İTİBARIYLE PERSONEL SAYISI 177’DİR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177 AS AT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</w:t>
            </w:r>
            <w:r>
              <w:rPr>
                <w:i w:val="0"/>
                <w:color w:val="auto"/>
              </w:rPr>
              <w:t xml:space="preserve"> TRL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1B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1B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721BDD">
      <w:pPr>
        <w:rPr>
          <w:rFonts w:ascii="Arial" w:hAnsi="Arial"/>
          <w:sz w:val="16"/>
        </w:rPr>
      </w:pPr>
    </w:p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Donanım (adet)</w:t>
            </w:r>
          </w:p>
        </w:tc>
        <w:tc>
          <w:tcPr>
            <w:tcW w:w="199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Hardware (quantity)</w:t>
            </w:r>
          </w:p>
        </w:tc>
        <w:tc>
          <w:tcPr>
            <w:tcW w:w="199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21BD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 2.481.591</w:t>
            </w:r>
          </w:p>
        </w:tc>
        <w:tc>
          <w:tcPr>
            <w:tcW w:w="1990" w:type="dxa"/>
          </w:tcPr>
          <w:p w:rsidR="00000000" w:rsidRDefault="00721BD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144.690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21BD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1.936.174</w:t>
            </w:r>
          </w:p>
        </w:tc>
        <w:tc>
          <w:tcPr>
            <w:tcW w:w="1990" w:type="dxa"/>
          </w:tcPr>
          <w:p w:rsidR="00000000" w:rsidRDefault="00721BD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136.231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</w:t>
            </w:r>
            <w:r>
              <w:rPr>
                <w:rFonts w:ascii="Arial" w:hAnsi="Arial"/>
                <w:i/>
                <w:sz w:val="16"/>
              </w:rPr>
              <w:t>alized  in the last two years  are given below.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15"/>
        <w:gridCol w:w="1722"/>
        <w:gridCol w:w="2148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22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68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22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215" w:type="dxa"/>
          </w:tcPr>
          <w:p w:rsidR="00000000" w:rsidRDefault="00721B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101.865.954.248.994 TL</w:t>
            </w:r>
          </w:p>
          <w:p w:rsidR="00000000" w:rsidRDefault="00721B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68.242.554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722" w:type="dxa"/>
          </w:tcPr>
          <w:p w:rsidR="00000000" w:rsidRDefault="00721B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148" w:type="dxa"/>
          </w:tcPr>
          <w:p w:rsidR="00000000" w:rsidRDefault="00721B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1.963.212.444.512 TL</w:t>
            </w:r>
          </w:p>
          <w:p w:rsidR="00000000" w:rsidRDefault="00721B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1.316.685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:rsidR="00000000" w:rsidRDefault="00721BD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215" w:type="dxa"/>
          </w:tcPr>
          <w:p w:rsidR="00000000" w:rsidRDefault="00721B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80.239.969.958.235 TL</w:t>
            </w:r>
          </w:p>
          <w:p w:rsidR="00000000" w:rsidRDefault="00721BDD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52.762.968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722" w:type="dxa"/>
          </w:tcPr>
          <w:p w:rsidR="00000000" w:rsidRDefault="00721BDD">
            <w:pPr>
              <w:ind w:right="679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36</w:t>
            </w:r>
          </w:p>
        </w:tc>
        <w:tc>
          <w:tcPr>
            <w:tcW w:w="2148" w:type="dxa"/>
          </w:tcPr>
          <w:p w:rsidR="00000000" w:rsidRDefault="00721B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1.167.919.081.639 TL</w:t>
            </w:r>
          </w:p>
          <w:p w:rsidR="00000000" w:rsidRDefault="00721B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771.276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:rsidR="00000000" w:rsidRDefault="00721BD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0.5</w:t>
            </w:r>
          </w:p>
        </w:tc>
      </w:tr>
    </w:tbl>
    <w:p w:rsidR="00000000" w:rsidRDefault="00721BDD">
      <w:pPr>
        <w:rPr>
          <w:rFonts w:ascii="Arial" w:hAnsi="Arial"/>
          <w:b/>
          <w:sz w:val="16"/>
          <w:u w:val="single"/>
        </w:rPr>
      </w:pPr>
    </w:p>
    <w:p w:rsidR="00000000" w:rsidRDefault="00721BDD">
      <w:pPr>
        <w:rPr>
          <w:rFonts w:ascii="Arial" w:hAnsi="Arial"/>
          <w:sz w:val="16"/>
        </w:rPr>
      </w:pPr>
    </w:p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1B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1B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1BDD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21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42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LTD.ŞTİ.</w:t>
            </w:r>
          </w:p>
        </w:tc>
        <w:tc>
          <w:tcPr>
            <w:tcW w:w="2304" w:type="dxa"/>
          </w:tcPr>
          <w:p w:rsidR="00000000" w:rsidRDefault="00721B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 TL</w:t>
            </w:r>
          </w:p>
        </w:tc>
        <w:tc>
          <w:tcPr>
            <w:tcW w:w="2342" w:type="dxa"/>
          </w:tcPr>
          <w:p w:rsidR="00000000" w:rsidRDefault="00721B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</w:tbl>
    <w:p w:rsidR="00000000" w:rsidRDefault="00721BDD">
      <w:pPr>
        <w:rPr>
          <w:rFonts w:ascii="Arial" w:hAnsi="Arial"/>
          <w:color w:val="FF0000"/>
          <w:sz w:val="16"/>
        </w:rPr>
      </w:pPr>
    </w:p>
    <w:p w:rsidR="00000000" w:rsidRDefault="00721BDD">
      <w:pPr>
        <w:rPr>
          <w:rFonts w:ascii="Arial" w:hAnsi="Arial"/>
          <w:color w:val="FF0000"/>
          <w:sz w:val="16"/>
        </w:rPr>
      </w:pPr>
    </w:p>
    <w:p w:rsidR="00000000" w:rsidRDefault="00721B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1B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1B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1B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21B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21B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482.205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425.000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SERMAYE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KOÇER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BEKİR ESKİCİOĞLU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110.500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NAMIK TÜLÜMEN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31.110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TÜLÜMEN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5.185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1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21BD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721BDD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21BDD">
      <w:pPr>
        <w:jc w:val="both"/>
        <w:rPr>
          <w:rFonts w:ascii="Arial" w:hAnsi="Arial"/>
          <w:sz w:val="16"/>
        </w:rPr>
      </w:pPr>
    </w:p>
    <w:p w:rsidR="00000000" w:rsidRDefault="00721BDD">
      <w:pPr>
        <w:jc w:val="both"/>
        <w:rPr>
          <w:rFonts w:ascii="Arial" w:hAnsi="Arial"/>
          <w:sz w:val="16"/>
        </w:rPr>
      </w:pPr>
    </w:p>
    <w:p w:rsidR="00000000" w:rsidRDefault="00721BDD">
      <w:pPr>
        <w:ind w:right="-1231"/>
        <w:rPr>
          <w:rFonts w:ascii="Arial" w:hAnsi="Arial"/>
          <w:sz w:val="16"/>
        </w:rPr>
      </w:pPr>
    </w:p>
    <w:p w:rsidR="00000000" w:rsidRDefault="00721B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BDD"/>
    <w:rsid w:val="007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D6978-948C-4635-9DFF-56EF35D5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2004-04-29T15:45:00Z</cp:lastPrinted>
  <dcterms:created xsi:type="dcterms:W3CDTF">2022-09-01T21:32:00Z</dcterms:created>
  <dcterms:modified xsi:type="dcterms:W3CDTF">2022-09-01T21:32:00Z</dcterms:modified>
</cp:coreProperties>
</file>