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pStyle w:val="Heading2"/>
            </w:pPr>
            <w:r>
              <w:t>GARANTİ GAYRİMENKUL YATIRIM ORTAKLIĞI A.Ş.</w:t>
            </w:r>
          </w:p>
        </w:tc>
      </w:tr>
    </w:tbl>
    <w:p w:rsidR="00000000" w:rsidRDefault="00B20A2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1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ŞİRKET, SERMAYE PİYASASI KURULU’NUN GAYRİMENKUL YATIRIM ORTAKLIKLARINA İLİŞKİN DÜZENLEMELERİ İLE BELİRLENMİŞ USUL VE ESASLAR DAHİLİNDE, </w:t>
            </w:r>
            <w:r>
              <w:rPr>
                <w:rFonts w:ascii="Arial" w:hAnsi="Arial"/>
                <w:color w:val="000000"/>
                <w:sz w:val="16"/>
              </w:rPr>
              <w:t>GAYRİMENKULLERE, GAYRİMENKULE DAYALI SERMAYE PİYASASI ARAÇLARINA, GAYRİMENKUL PROJELERİNE, GAYRİMENKULE DAYALI HAKLARA VE SERMAYE PİYASASI ARAÇLARINA YATIRIM YAPABİLEN, BELİRLİ PROJELERİ GERÇEKLEŞTİRMEK ÜZERE ADİ ORTAKLIK KURABİLEN VE SERMAYE PİYASASI KURU</w:t>
            </w:r>
            <w:r>
              <w:rPr>
                <w:rFonts w:ascii="Arial" w:hAnsi="Arial"/>
                <w:color w:val="000000"/>
                <w:sz w:val="16"/>
              </w:rPr>
              <w:t xml:space="preserve">LU DÜZENLEMELERİNDE İZİN VERİLEN DİĞER FAALİYETLERDE BULUNABİLEN BİR SERMAYE PİYASASI KURUMUDUR.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BÜYÜKDERE CAD. NO:65 DOĞUŞ GRUBU BİNALARI A BLOK KAT:1 MASLAK 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KÜRŞAT TUNC</w:t>
            </w:r>
            <w:r>
              <w:rPr>
                <w:rFonts w:ascii="Arial" w:hAnsi="Arial"/>
                <w:color w:val="000000"/>
                <w:sz w:val="16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</w:t>
            </w:r>
          </w:p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SARIKAYA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</w:t>
            </w:r>
          </w:p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MEMİŞ </w:t>
            </w:r>
          </w:p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KUBİLAY CİNEMRE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HALUK DOĞANCAY</w:t>
            </w:r>
          </w:p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M.OGAN KARATUNA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KÜRŞAT TUNCEL (GENEL MÜDÜR), AFİFE EDİĞE (MALİ İŞLER MÜDÜRÜ), NAZLI YILMAZ (MALİ İŞLER MÜDÜR YARD.), TUNÇ MEREY (PROJE MÜDÜRÜ),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YEZDAN ÜNLÜ (PROJE MÜDÜR YRD.), A.ERDOĞAN DAĞLI (DANIŞMAN), ALTAN REHA GÖKSU (AVUKAT)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0212 335 32 50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pStyle w:val="Heading3"/>
            </w:pPr>
            <w:r>
              <w:t>FAKS NO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0212 285 40 12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pStyle w:val="Heading1"/>
            </w:pPr>
            <w:r>
              <w:t>500.000.000.000.000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23.250.000.000.000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1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0A21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228"/>
        <w:gridCol w:w="236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28" w:type="dxa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PORTFÖY   </w:t>
            </w:r>
          </w:p>
          <w:p w:rsidR="00000000" w:rsidRDefault="00B20A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</w:t>
            </w:r>
            <w:r>
              <w:rPr>
                <w:rFonts w:ascii="Arial" w:hAnsi="Arial"/>
                <w:sz w:val="16"/>
                <w:u w:val="single"/>
              </w:rPr>
              <w:t>DEĞERİ</w:t>
            </w:r>
          </w:p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 TL MEVDUAT                                            17.046.790</w:t>
            </w:r>
          </w:p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18.08.04 HAZİNE BONOSU           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 1.724.916</w:t>
            </w:r>
          </w:p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21.01.04 HAZİNE BONOSU         </w:t>
            </w:r>
            <w:r>
              <w:rPr>
                <w:rFonts w:ascii="Arial" w:hAnsi="Arial"/>
                <w:sz w:val="16"/>
              </w:rPr>
              <w:tab/>
              <w:t xml:space="preserve">                       </w:t>
            </w:r>
            <w:r>
              <w:rPr>
                <w:rFonts w:ascii="Arial" w:hAnsi="Arial"/>
                <w:sz w:val="16"/>
              </w:rPr>
              <w:t>19.635</w:t>
            </w:r>
          </w:p>
        </w:tc>
        <w:tc>
          <w:tcPr>
            <w:tcW w:w="236" w:type="dxa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                              MARKET</w:t>
            </w:r>
          </w:p>
          <w:p w:rsidR="00000000" w:rsidRDefault="00B20A21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                             </w:t>
            </w:r>
            <w:r>
              <w:rPr>
                <w:rFonts w:ascii="Arial" w:hAnsi="Arial"/>
                <w:i/>
                <w:sz w:val="16"/>
                <w:u w:val="single"/>
              </w:rPr>
              <w:t>VALUE</w:t>
            </w:r>
          </w:p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MARKETABLE SECURITIES    17.046.79</w:t>
            </w:r>
            <w:r>
              <w:rPr>
                <w:rFonts w:ascii="Arial" w:hAnsi="Arial"/>
                <w:i/>
                <w:sz w:val="16"/>
              </w:rPr>
              <w:t>0</w:t>
            </w:r>
          </w:p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GOVERMENT BONDS   </w:t>
            </w:r>
            <w:r>
              <w:rPr>
                <w:rFonts w:ascii="Arial" w:hAnsi="Arial"/>
                <w:i/>
                <w:sz w:val="16"/>
              </w:rPr>
              <w:tab/>
              <w:t xml:space="preserve">   1.724.916</w:t>
            </w:r>
          </w:p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GOVERMENT BONDS                  19.635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28" w:type="dxa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20A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0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20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20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B20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20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B20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B20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20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B20A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1892" w:type="dxa"/>
          </w:tcPr>
          <w:p w:rsidR="00000000" w:rsidRDefault="00B20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11.852.850.000.000</w:t>
            </w:r>
          </w:p>
        </w:tc>
        <w:tc>
          <w:tcPr>
            <w:tcW w:w="2410" w:type="dxa"/>
          </w:tcPr>
          <w:p w:rsidR="00000000" w:rsidRDefault="00B20A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B20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3.487.500.000</w:t>
            </w:r>
          </w:p>
        </w:tc>
        <w:tc>
          <w:tcPr>
            <w:tcW w:w="2410" w:type="dxa"/>
          </w:tcPr>
          <w:p w:rsidR="00000000" w:rsidRDefault="00B20A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TİC.A.Ş.</w:t>
            </w:r>
          </w:p>
        </w:tc>
        <w:tc>
          <w:tcPr>
            <w:tcW w:w="1892" w:type="dxa"/>
          </w:tcPr>
          <w:p w:rsidR="00000000" w:rsidRDefault="00B20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1.162.500.000</w:t>
            </w:r>
          </w:p>
        </w:tc>
        <w:tc>
          <w:tcPr>
            <w:tcW w:w="2410" w:type="dxa"/>
          </w:tcPr>
          <w:p w:rsidR="00000000" w:rsidRDefault="00B20A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20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11.392.500.000.000</w:t>
            </w:r>
          </w:p>
        </w:tc>
        <w:tc>
          <w:tcPr>
            <w:tcW w:w="2410" w:type="dxa"/>
          </w:tcPr>
          <w:p w:rsidR="00000000" w:rsidRDefault="00B20A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0A2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20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20A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20A21">
      <w:pPr>
        <w:jc w:val="both"/>
        <w:rPr>
          <w:rFonts w:ascii="Arial" w:hAnsi="Arial"/>
          <w:sz w:val="16"/>
        </w:rPr>
      </w:pPr>
    </w:p>
    <w:p w:rsidR="00000000" w:rsidRDefault="00B20A2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4513"/>
        <w:gridCol w:w="6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17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31.12.2003 TARİHLİ PORTFÖY TABLOSU</w:t>
            </w: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2" w:space="0" w:color="000000"/>
              <w:bottom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6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B20A21">
      <w:pPr>
        <w:jc w:val="both"/>
        <w:rPr>
          <w:rFonts w:ascii="Arial" w:hAnsi="Arial"/>
          <w:b/>
          <w:sz w:val="16"/>
        </w:rPr>
      </w:pPr>
    </w:p>
    <w:p w:rsidR="00000000" w:rsidRDefault="00B20A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851"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8"/>
        <w:gridCol w:w="993"/>
        <w:gridCol w:w="992"/>
        <w:gridCol w:w="930"/>
        <w:gridCol w:w="993"/>
        <w:gridCol w:w="912"/>
        <w:gridCol w:w="709"/>
        <w:gridCol w:w="850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PORTFÖYDE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YERALAN                                   VARLIKLARIN TÜRÜ 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(ASSETS)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LOKASYON            BİLGİLERİ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(LOCATION)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ALAN            BİLGİLERİ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(AREA SOM)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ALIŞ             MALİYETİ 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(PURCHASE PRICE)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EKSPERTİZ RAPOR TARİHİ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(APPRAISAL DATE)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( I )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         EKSPERTİZ / MENKUL KIYMET RAYİÇ DEĞERİ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(APPRAISAL VALUE)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( II )                                 BAKİYE                 BORÇ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 xml:space="preserve">( III=I-II )                        PORTFÖY               DEĞERİ </w:t>
            </w:r>
          </w:p>
          <w:p w:rsidR="00000000" w:rsidRDefault="00B20A21">
            <w:pPr>
              <w:jc w:val="center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(MARKET VALUE)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( % )                     GRUP İÇİ    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         ORANLAR</w:t>
            </w:r>
          </w:p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(GRUP PROPORTION)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 % )                               VARLIK GRUBUNUN PORTFÖYDEKİ ORANI (TOTAL PROPORTION)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A   GAYRİMENKULLER   (ESTATES)               (1)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21.175.247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48.678.500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48.678.500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100,00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72,15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Arsalar (Lands)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Mas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lak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44.121m2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13.527.578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20.11.2003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33.090.000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33.090.000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67,98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Araziler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Binalar - Konutlar (Buldings)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Taksim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1.350m2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995.625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20.11.2003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3.650.000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3.650.000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7,50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Şişli               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1.160m2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463.150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20.11.2003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2.100.000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2.100.000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4,31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Levent  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374m2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297.950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20.11.2003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1.420.000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1.420.000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2,92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Etiler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294m2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3.559.850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19.12.2003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3.530.000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3.530.000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7,25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Antalya 2000 plaza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3.550m2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2.331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.094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20.11.2003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4.888.500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4.888.500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10,04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(56 adet bağımsız bölüm 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Sınırlı Ayni  Haklar (Real Estate Projects)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B   MÜLKİYETE  GEÇİRİLMEMİŞ VARLIKLAR   (2)</w:t>
            </w:r>
          </w:p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  (DON'T INFECT OWNERSHIP ASSETS)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Gayrim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enkul proje Avansları (Estate Project Advance)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Diğer Gayrimenkuller (Other Estate)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C   MENKUL  KIYMETLER                              (3)</w:t>
            </w:r>
          </w:p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  (MARKETABLE SECURITIES)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17.898.459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18.790.325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18.790.325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100,00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27,85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GM  Se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rtifikası (Private Sector Bonds)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Vadeli Mevduat (Marketable Securities)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16.155.000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17.046.790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17.046.790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90,72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Hisse  Senedi (Share Certificates)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Hazine Bonosu-Devlet Tahvili Government Bonds and </w:t>
            </w:r>
          </w:p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Treasury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Bills)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1.743.459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1.743.535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1.743.535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9,28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Ters  Repo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0,00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D=A+B+C TOPLAM PORTFÖY DEĞERİ (TOTAL ASSET VALUE)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39.073.706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67.468.825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FF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FF0000"/>
                <w:sz w:val="14"/>
                <w:lang w:val="en-US"/>
              </w:rPr>
              <w:t>67.468.825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100,00</w:t>
            </w:r>
          </w:p>
        </w:tc>
      </w:tr>
    </w:tbl>
    <w:p w:rsidR="00000000" w:rsidRDefault="00B20A21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850"/>
        <w:gridCol w:w="1"/>
        <w:gridCol w:w="2543"/>
        <w:gridCol w:w="839"/>
        <w:gridCol w:w="1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DİPNOT  AÇIKLAMALARI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24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(1) Ekspertiz şirketince onaylı yasal ekspertiz rapor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unda yer alan (TL) değeridir. Değerlemenin döviz cinsinden değeri üzerinden cari kurla değerleme yapılamaz.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D=A+B+C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TOPLAM   PORTFÖY   DEĞERİ</w:t>
            </w:r>
          </w:p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(TOTAL ASSET VALUE) 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67.468.825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   E</w:t>
            </w:r>
          </w:p>
        </w:tc>
        <w:tc>
          <w:tcPr>
            <w:tcW w:w="2544" w:type="dxa"/>
            <w:hMerge w:val="restart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Hazır Değerler(Cash)</w:t>
            </w:r>
          </w:p>
        </w:tc>
        <w:tc>
          <w:tcPr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1.339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(2) Ortaklık mülkiyetine geçir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ilmemiş gayrimenkuller ile gayrimenkul projeleri için portföy değeri sütununa  sadece tablonun  hazırlanış tarihine kadar yapılan ödemelerin toplamı yazılır.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   F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Alacaklar (Receivables)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2.971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   G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Borçlar (Liabilities)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140.277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(3) Borsada işlem gören varlıklar değerleme gününde borsada oluşan ağırlıklı ortalama fiyat veya oranlarla değerlenir. İki seans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   H</w:t>
            </w:r>
          </w:p>
        </w:tc>
        <w:tc>
          <w:tcPr>
            <w:tcW w:w="2544" w:type="dxa"/>
            <w:hMerge w:val="restart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Diğer  Aktifler (Other Assets)</w:t>
            </w:r>
          </w:p>
        </w:tc>
        <w:tc>
          <w:tcPr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1.636.691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uygulanan borsalarda değerleme fiyatı; ikinci seans ağırlıklı or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talama fiyatı veya oranıdır. Değerleri bu şekilde belirlenemeyen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I=D+(E+F-G+H)     </w:t>
            </w:r>
          </w:p>
        </w:tc>
        <w:tc>
          <w:tcPr>
            <w:tcW w:w="2544" w:type="dxa"/>
            <w:hMerge w:val="restart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NET AKTİF DEĞER </w:t>
            </w:r>
          </w:p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(NET ASSET VALUE)</w:t>
            </w:r>
          </w:p>
        </w:tc>
        <w:tc>
          <w:tcPr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68.969.549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borçlanma senetleri ve repolar ise son iş günündeki portföy değerlerine sermaye piyasası aracının iç verim oranı üzerinden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     J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      Pay  Sayısı (Total Share)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23.250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 xml:space="preserve">günlük bileşik faiz esasına göre hesaplanan faizin anaparaya eklenmesi suretiyle değerlenir. Diğerleri,alış değerleri veya en son borsa fiyatları ile değerlenir.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         K=I/J</w:t>
            </w:r>
          </w:p>
        </w:tc>
        <w:tc>
          <w:tcPr>
            <w:tcW w:w="2544" w:type="dxa"/>
            <w:hMerge w:val="restart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PAYBAŞI NET AKTİF DEĞER</w:t>
            </w: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 xml:space="preserve">İ </w:t>
            </w:r>
          </w:p>
          <w:p w:rsidR="00000000" w:rsidRDefault="00B20A21">
            <w:pP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(NAV PER SHARE)</w:t>
            </w:r>
          </w:p>
        </w:tc>
        <w:tc>
          <w:tcPr>
            <w:hMerge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2.966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4"/>
                <w:lang w:val="en-US"/>
              </w:rPr>
              <w:t>DİĞER  BİLGİLER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( * ) Gayrimenkullerin Ekspertiz Değerleri KDV'siz olarak değerlendirilmiştir.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Alınan  Krediler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Rehin, İpotek ve Teminatlar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10"/>
        </w:trPr>
        <w:tc>
          <w:tcPr>
            <w:tcW w:w="4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Sigorta Tutarları</w:t>
            </w:r>
          </w:p>
        </w:tc>
        <w:tc>
          <w:tcPr>
            <w:tcW w:w="254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B20A21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US"/>
              </w:rPr>
              <w:t>4.502.964</w:t>
            </w:r>
          </w:p>
        </w:tc>
      </w:tr>
    </w:tbl>
    <w:p w:rsidR="00000000" w:rsidRDefault="00B20A21">
      <w:pPr>
        <w:ind w:right="-1231"/>
        <w:rPr>
          <w:rFonts w:ascii="Arial" w:hAnsi="Arial"/>
          <w:sz w:val="16"/>
        </w:rPr>
      </w:pPr>
    </w:p>
    <w:p w:rsidR="00000000" w:rsidRDefault="00B20A21">
      <w:pPr>
        <w:ind w:right="-1231"/>
        <w:rPr>
          <w:rFonts w:ascii="Arial" w:hAnsi="Arial"/>
          <w:sz w:val="16"/>
        </w:rPr>
      </w:pPr>
    </w:p>
    <w:p w:rsidR="00000000" w:rsidRDefault="00B20A21">
      <w:pPr>
        <w:ind w:right="-1231"/>
        <w:rPr>
          <w:rFonts w:ascii="Arial" w:hAnsi="Arial"/>
          <w:sz w:val="16"/>
        </w:rPr>
      </w:pPr>
    </w:p>
    <w:p w:rsidR="00000000" w:rsidRDefault="00B20A21">
      <w:pPr>
        <w:ind w:right="-1231"/>
        <w:rPr>
          <w:rFonts w:ascii="Arial" w:hAnsi="Arial"/>
          <w:sz w:val="16"/>
        </w:rPr>
      </w:pPr>
    </w:p>
    <w:p w:rsidR="00000000" w:rsidRDefault="00B20A2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191" w:left="851" w:header="720" w:footer="720" w:gutter="0"/>
      <w:paperSrc w:first="4" w:other="4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A21"/>
    <w:rsid w:val="00B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CE585B-FD51-4EB8-8EE8-5FB3F3B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-30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1">
    <w:name w:val="xl4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4">
    <w:name w:val="xl4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7">
    <w:name w:val="xl47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8">
    <w:name w:val="xl48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9">
    <w:name w:val="xl49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3">
    <w:name w:val="xl53"/>
    <w:basedOn w:val="Normal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4">
    <w:name w:val="xl5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8">
    <w:name w:val="xl5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2">
    <w:name w:val="xl62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5">
    <w:name w:val="xl6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9">
    <w:name w:val="xl6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71">
    <w:name w:val="xl7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2">
    <w:name w:val="xl72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5">
    <w:name w:val="xl75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84">
    <w:name w:val="xl84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5">
    <w:name w:val="xl85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87">
    <w:name w:val="xl87"/>
    <w:basedOn w:val="Normal"/>
    <w:pPr>
      <w:pBdr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0">
    <w:name w:val="xl90"/>
    <w:basedOn w:val="Normal"/>
    <w:pPr>
      <w:pBdr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1">
    <w:name w:val="xl9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2004-06-01T20:17:00Z</cp:lastPrinted>
  <dcterms:created xsi:type="dcterms:W3CDTF">2022-09-01T21:32:00Z</dcterms:created>
  <dcterms:modified xsi:type="dcterms:W3CDTF">2022-09-01T21:32:00Z</dcterms:modified>
</cp:coreProperties>
</file>