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127C8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,GALATASARAY SPORTİF VE SINAİ VE TİCARİ YATIRIMLAR A.Ş.</w:t>
            </w:r>
          </w:p>
        </w:tc>
      </w:tr>
    </w:tbl>
    <w:p w:rsidR="00000000" w:rsidRDefault="00B127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26.11.97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 GALATASARAY MARKASININ YÖNETİM HAKLARINA SAHİP BİR ÖZEL MEDYA </w:t>
            </w:r>
          </w:p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PAZARLAMA ŞİRKERTİDİR.GALATASARAY SPORTİF SINAİ VE TİCARİ YA</w:t>
            </w:r>
            <w:r>
              <w:rPr>
                <w:rFonts w:ascii="Arial" w:hAnsi="Arial"/>
                <w:sz w:val="16"/>
              </w:rPr>
              <w:t>TIRIMLAR</w:t>
            </w:r>
          </w:p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A.Ş.GALATASARAY FUTBOL TAKIMI’NIN TÜM MEDYA YAYIN,REKLAM,</w:t>
            </w:r>
          </w:p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SPONSORLUK  VE İSİM HAKLARINI YÖNETEN GALATASARAY SPORTİF’İN BÜNYESİNDE GİŞE GELİRLERİ, FUTBOLCU TRANSFERLER GELİR/GİDERLERİ VE MAAŞLARI GİBİ GELİRLER VE GİDERLER YER ALMAMAKTADIR.GALATASAR</w:t>
            </w:r>
            <w:r>
              <w:rPr>
                <w:rFonts w:ascii="Arial" w:hAnsi="Arial"/>
                <w:sz w:val="16"/>
              </w:rPr>
              <w:t>AY SPORTİF A.Ş.’NİN UYGULAMAYA KOYDUĞU AKTİF PAZARLAMA STRATEJİSİ TÜRKİYE’NİN EN DEĞERLİ MARKASI GALATASARAY’IN KUVVETLİ KONUMUNDAN YARARLANIP ŞİRKET GELİRLERİNİ BÜYÜTMENİN YANI SIRA SPONSOR FİRMALARA SAĞLANAN FAYDALARI VE MÜŞTERİ MEMNUNİYETİNİ ARTIRMAYI A</w:t>
            </w:r>
            <w:r>
              <w:rPr>
                <w:rFonts w:ascii="Arial" w:hAnsi="Arial"/>
                <w:sz w:val="16"/>
              </w:rPr>
              <w:t>MAÇLAMAKTADIR.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HASNUN GALİP SOKAK NO:7 BEYOĞLU, İSTANBUL</w:t>
            </w:r>
          </w:p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İRTİBAT ADRESİ: BÜYÜKDERE CAD.AKINCIBAYIRI SOKAK NO:8 KAT:6</w:t>
            </w:r>
          </w:p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34394 MECİDİYEKÖY,İSTANBUL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EBRU KÖKSAL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</w:t>
            </w:r>
            <w:r>
              <w:rPr>
                <w:rFonts w:ascii="Arial" w:hAnsi="Arial"/>
                <w:b/>
                <w:sz w:val="16"/>
              </w:rPr>
              <w:t>M KURULU ÜYELERİ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ÖZHAN CANAYDIN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DÜRÜST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 YALMAN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ŞÜKRÜ ERGÜN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ATEŞ ÜNAL ERZEN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DERYA TAŞDELENLER                                                  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NİYAZİ YELKENCİOĞLU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0212 2744555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0212 2749636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</w:t>
            </w:r>
            <w:r>
              <w:rPr>
                <w:rFonts w:ascii="Arial" w:hAnsi="Arial"/>
                <w:b/>
                <w:sz w:val="16"/>
              </w:rPr>
              <w:t>L SAYISI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2,035,00</w:t>
            </w:r>
            <w:r>
              <w:rPr>
                <w:rFonts w:ascii="Arial" w:hAnsi="Arial"/>
                <w:sz w:val="16"/>
              </w:rPr>
              <w:t>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7C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B127C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127C8">
            <w:pPr>
              <w:pStyle w:val="Heading1"/>
              <w:rPr>
                <w:color w:val="auto"/>
              </w:rPr>
            </w:pPr>
          </w:p>
        </w:tc>
      </w:tr>
    </w:tbl>
    <w:p w:rsidR="00000000" w:rsidRDefault="00B127C8">
      <w:pPr>
        <w:rPr>
          <w:rFonts w:ascii="Arial" w:hAnsi="Arial"/>
          <w:sz w:val="16"/>
        </w:rPr>
      </w:pPr>
    </w:p>
    <w:p w:rsidR="00000000" w:rsidRDefault="00B127C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B127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ettiği gelirlerin detayı aşağıdadır.</w:t>
            </w:r>
          </w:p>
        </w:tc>
        <w:tc>
          <w:tcPr>
            <w:tcW w:w="1121" w:type="dxa"/>
          </w:tcPr>
          <w:p w:rsidR="00000000" w:rsidRDefault="00B127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B127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B127C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108"/>
        <w:gridCol w:w="158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B127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Gelirler /Incomes </w:t>
            </w:r>
          </w:p>
          <w:p w:rsidR="00000000" w:rsidRDefault="00B127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6" w:type="dxa"/>
          </w:tcPr>
          <w:p w:rsidR="00000000" w:rsidRDefault="00B127C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28.02.2003 (9 Aylık)</w:t>
            </w:r>
          </w:p>
        </w:tc>
        <w:tc>
          <w:tcPr>
            <w:tcW w:w="1108" w:type="dxa"/>
          </w:tcPr>
          <w:p w:rsidR="00000000" w:rsidRDefault="00B127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B127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85" w:type="dxa"/>
          </w:tcPr>
          <w:p w:rsidR="00000000" w:rsidRDefault="00B127C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28.02.2004 (9 Aylık)</w:t>
            </w:r>
          </w:p>
        </w:tc>
        <w:tc>
          <w:tcPr>
            <w:tcW w:w="1276" w:type="dxa"/>
          </w:tcPr>
          <w:p w:rsidR="00000000" w:rsidRDefault="00B127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B127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ve Reklam Gelirleri</w:t>
            </w:r>
          </w:p>
        </w:tc>
        <w:tc>
          <w:tcPr>
            <w:tcW w:w="1276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19,289,439</w:t>
            </w:r>
          </w:p>
        </w:tc>
        <w:tc>
          <w:tcPr>
            <w:tcW w:w="1108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585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21,720,442</w:t>
            </w:r>
          </w:p>
        </w:tc>
        <w:tc>
          <w:tcPr>
            <w:tcW w:w="1276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İsim Hakkı ile İlgili Gelirler</w:t>
            </w:r>
          </w:p>
        </w:tc>
        <w:tc>
          <w:tcPr>
            <w:tcW w:w="1276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1,183,218</w:t>
            </w:r>
          </w:p>
        </w:tc>
        <w:tc>
          <w:tcPr>
            <w:tcW w:w="1108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85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1,985,641</w:t>
            </w:r>
          </w:p>
        </w:tc>
        <w:tc>
          <w:tcPr>
            <w:tcW w:w="1276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Performans Gelirleri</w:t>
            </w:r>
          </w:p>
        </w:tc>
        <w:tc>
          <w:tcPr>
            <w:tcW w:w="1276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3,881,553</w:t>
            </w:r>
          </w:p>
        </w:tc>
        <w:tc>
          <w:tcPr>
            <w:tcW w:w="1108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585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</w:t>
            </w:r>
            <w:r>
              <w:rPr>
                <w:rFonts w:ascii="Arial" w:hAnsi="Arial"/>
                <w:sz w:val="16"/>
              </w:rPr>
              <w:t>55,604</w:t>
            </w:r>
          </w:p>
        </w:tc>
        <w:tc>
          <w:tcPr>
            <w:tcW w:w="1276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Gelirler</w:t>
            </w:r>
          </w:p>
        </w:tc>
        <w:tc>
          <w:tcPr>
            <w:tcW w:w="1276" w:type="dxa"/>
          </w:tcPr>
          <w:p w:rsidR="00000000" w:rsidRDefault="00B127C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108" w:type="dxa"/>
          </w:tcPr>
          <w:p w:rsidR="00000000" w:rsidRDefault="00B127C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585" w:type="dxa"/>
          </w:tcPr>
          <w:p w:rsidR="00000000" w:rsidRDefault="00B127C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276" w:type="dxa"/>
          </w:tcPr>
          <w:p w:rsidR="00000000" w:rsidRDefault="00B127C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B1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000000" w:rsidRDefault="00B127C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24,354,210</w:t>
            </w:r>
          </w:p>
        </w:tc>
        <w:tc>
          <w:tcPr>
            <w:tcW w:w="1108" w:type="dxa"/>
          </w:tcPr>
          <w:p w:rsidR="00000000" w:rsidRDefault="00B127C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85" w:type="dxa"/>
          </w:tcPr>
          <w:p w:rsidR="00000000" w:rsidRDefault="00B127C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30,261,687</w:t>
            </w:r>
          </w:p>
        </w:tc>
        <w:tc>
          <w:tcPr>
            <w:tcW w:w="1276" w:type="dxa"/>
          </w:tcPr>
          <w:p w:rsidR="00000000" w:rsidRDefault="00B127C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B127C8">
      <w:pPr>
        <w:rPr>
          <w:rFonts w:ascii="Arial" w:hAnsi="Arial"/>
          <w:sz w:val="16"/>
        </w:rPr>
      </w:pPr>
    </w:p>
    <w:p w:rsidR="00000000" w:rsidRDefault="00B127C8">
      <w:pPr>
        <w:rPr>
          <w:rFonts w:ascii="Arial" w:hAnsi="Arial"/>
          <w:sz w:val="16"/>
        </w:rPr>
      </w:pPr>
    </w:p>
    <w:p w:rsidR="00000000" w:rsidRDefault="00B127C8">
      <w:pPr>
        <w:rPr>
          <w:rFonts w:ascii="Arial" w:hAnsi="Arial"/>
          <w:sz w:val="16"/>
        </w:rPr>
      </w:pPr>
    </w:p>
    <w:p w:rsidR="00000000" w:rsidRDefault="00B127C8">
      <w:pPr>
        <w:rPr>
          <w:rFonts w:ascii="Arial" w:hAnsi="Arial"/>
          <w:sz w:val="16"/>
        </w:rPr>
      </w:pPr>
    </w:p>
    <w:p w:rsidR="00000000" w:rsidRDefault="00B127C8">
      <w:pPr>
        <w:rPr>
          <w:rFonts w:ascii="Arial" w:hAnsi="Arial"/>
          <w:sz w:val="16"/>
        </w:rPr>
      </w:pPr>
    </w:p>
    <w:p w:rsidR="00000000" w:rsidRDefault="00B127C8">
      <w:pPr>
        <w:rPr>
          <w:rFonts w:ascii="Arial" w:hAnsi="Arial"/>
          <w:sz w:val="16"/>
        </w:rPr>
      </w:pPr>
    </w:p>
    <w:p w:rsidR="00000000" w:rsidRDefault="00B127C8">
      <w:pPr>
        <w:rPr>
          <w:rFonts w:ascii="Arial" w:hAnsi="Arial"/>
          <w:sz w:val="16"/>
        </w:rPr>
      </w:pPr>
    </w:p>
    <w:p w:rsidR="00000000" w:rsidRDefault="00B127C8">
      <w:pPr>
        <w:rPr>
          <w:rFonts w:ascii="Arial" w:hAnsi="Arial"/>
          <w:sz w:val="16"/>
        </w:rPr>
      </w:pPr>
    </w:p>
    <w:p w:rsidR="00000000" w:rsidRDefault="00B127C8">
      <w:pPr>
        <w:rPr>
          <w:rFonts w:ascii="Arial" w:hAnsi="Arial"/>
          <w:sz w:val="16"/>
        </w:rPr>
      </w:pPr>
    </w:p>
    <w:p w:rsidR="00000000" w:rsidRDefault="00B127C8">
      <w:pPr>
        <w:rPr>
          <w:rFonts w:ascii="Arial" w:hAnsi="Arial"/>
          <w:sz w:val="16"/>
        </w:rPr>
      </w:pPr>
    </w:p>
    <w:p w:rsidR="00000000" w:rsidRDefault="00B127C8">
      <w:pPr>
        <w:rPr>
          <w:rFonts w:ascii="Arial" w:hAnsi="Arial"/>
          <w:sz w:val="16"/>
        </w:rPr>
      </w:pPr>
    </w:p>
    <w:p w:rsidR="00000000" w:rsidRDefault="00B127C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B127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oluşan giderlerinin detayı aşağıdadır.</w:t>
            </w:r>
          </w:p>
        </w:tc>
        <w:tc>
          <w:tcPr>
            <w:tcW w:w="1121" w:type="dxa"/>
          </w:tcPr>
          <w:p w:rsidR="00000000" w:rsidRDefault="00B127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B127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expenses  of the Company for the last two years are  shown below.</w:t>
            </w:r>
          </w:p>
        </w:tc>
      </w:tr>
    </w:tbl>
    <w:p w:rsidR="00000000" w:rsidRDefault="00B127C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7"/>
        <w:gridCol w:w="1274"/>
        <w:gridCol w:w="1134"/>
        <w:gridCol w:w="1561"/>
        <w:gridCol w:w="12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B127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Giderler  / </w:t>
            </w:r>
          </w:p>
          <w:p w:rsidR="00000000" w:rsidRDefault="00B127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4" w:type="dxa"/>
          </w:tcPr>
          <w:p w:rsidR="00000000" w:rsidRDefault="00B127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1134" w:type="dxa"/>
          </w:tcPr>
          <w:p w:rsidR="00000000" w:rsidRDefault="00B127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B127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:rsidR="00000000" w:rsidRDefault="00B127C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1274" w:type="dxa"/>
          </w:tcPr>
          <w:p w:rsidR="00000000" w:rsidRDefault="00B127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B127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Kira Gideri</w:t>
            </w:r>
          </w:p>
        </w:tc>
        <w:tc>
          <w:tcPr>
            <w:tcW w:w="1274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1,846,504</w:t>
            </w:r>
          </w:p>
        </w:tc>
        <w:tc>
          <w:tcPr>
            <w:tcW w:w="1134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561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1,854,535</w:t>
            </w:r>
          </w:p>
        </w:tc>
        <w:tc>
          <w:tcPr>
            <w:tcW w:w="1274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Lisans Giderleri</w:t>
            </w:r>
          </w:p>
        </w:tc>
        <w:tc>
          <w:tcPr>
            <w:tcW w:w="1274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61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74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B127C8">
            <w:pPr>
              <w:pStyle w:val="BodyText3"/>
              <w:rPr>
                <w:color w:val="auto"/>
                <w:sz w:val="16"/>
                <w:lang w:val="en-AU"/>
              </w:rPr>
            </w:pPr>
            <w:r>
              <w:rPr>
                <w:color w:val="auto"/>
                <w:sz w:val="16"/>
              </w:rPr>
              <w:t>Diğer Giderler</w:t>
            </w:r>
          </w:p>
        </w:tc>
        <w:tc>
          <w:tcPr>
            <w:tcW w:w="1274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2,641,434</w:t>
            </w:r>
          </w:p>
        </w:tc>
        <w:tc>
          <w:tcPr>
            <w:tcW w:w="1134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561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2,414,687</w:t>
            </w:r>
          </w:p>
        </w:tc>
        <w:tc>
          <w:tcPr>
            <w:tcW w:w="1274" w:type="dxa"/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B127C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4" w:type="dxa"/>
          </w:tcPr>
          <w:p w:rsidR="00000000" w:rsidRDefault="00B127C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4,487,938</w:t>
            </w:r>
          </w:p>
        </w:tc>
        <w:tc>
          <w:tcPr>
            <w:tcW w:w="1134" w:type="dxa"/>
          </w:tcPr>
          <w:p w:rsidR="00000000" w:rsidRDefault="00B127C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61" w:type="dxa"/>
          </w:tcPr>
          <w:p w:rsidR="00000000" w:rsidRDefault="00B127C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4,269,222</w:t>
            </w:r>
          </w:p>
        </w:tc>
        <w:tc>
          <w:tcPr>
            <w:tcW w:w="1274" w:type="dxa"/>
          </w:tcPr>
          <w:p w:rsidR="00000000" w:rsidRDefault="00B127C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B127C8">
      <w:pPr>
        <w:rPr>
          <w:rFonts w:ascii="Arial" w:hAnsi="Arial"/>
          <w:sz w:val="16"/>
        </w:rPr>
      </w:pPr>
    </w:p>
    <w:p w:rsidR="00000000" w:rsidRDefault="00B127C8">
      <w:pPr>
        <w:rPr>
          <w:rFonts w:ascii="Arial" w:hAnsi="Arial"/>
          <w:sz w:val="16"/>
        </w:rPr>
      </w:pPr>
    </w:p>
    <w:p w:rsidR="00000000" w:rsidRDefault="00B127C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27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127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27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</w:t>
            </w:r>
            <w:r>
              <w:rPr>
                <w:rFonts w:ascii="Arial" w:hAnsi="Arial"/>
                <w:i/>
                <w:sz w:val="16"/>
              </w:rPr>
              <w:t>he main shareholders and their participations in the equity capital are shown below.</w:t>
            </w:r>
          </w:p>
        </w:tc>
      </w:tr>
    </w:tbl>
    <w:p w:rsidR="00000000" w:rsidRDefault="00B127C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127C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30"/>
        <w:gridCol w:w="1180"/>
        <w:gridCol w:w="225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30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Adı</w:t>
            </w:r>
          </w:p>
        </w:tc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B127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Oranı (%)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B127C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B127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30" w:type="dxa"/>
            <w:tcBorders>
              <w:top w:val="single" w:sz="4" w:space="0" w:color="auto"/>
            </w:tcBorders>
          </w:tcPr>
          <w:p w:rsidR="00000000" w:rsidRDefault="00B127C8">
            <w:pPr>
              <w:rPr>
                <w:rFonts w:ascii="Arial" w:hAnsi="Arial"/>
                <w:sz w:val="16"/>
              </w:rPr>
            </w:pPr>
          </w:p>
        </w:tc>
        <w:tc>
          <w:tcPr>
            <w:tcW w:w="1180" w:type="dxa"/>
            <w:tcBorders>
              <w:top w:val="single" w:sz="4" w:space="0" w:color="auto"/>
            </w:tcBorders>
          </w:tcPr>
          <w:p w:rsidR="00000000" w:rsidRDefault="00B127C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</w:tcPr>
          <w:p w:rsidR="00000000" w:rsidRDefault="00B1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3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Galatasaray Futbol A.Ş.</w:t>
            </w:r>
          </w:p>
        </w:tc>
        <w:tc>
          <w:tcPr>
            <w:tcW w:w="1180" w:type="dxa"/>
          </w:tcPr>
          <w:p w:rsidR="00000000" w:rsidRDefault="00B127C8">
            <w:pPr>
              <w:tabs>
                <w:tab w:val="decimal" w:pos="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83.98</w:t>
            </w:r>
          </w:p>
        </w:tc>
        <w:tc>
          <w:tcPr>
            <w:tcW w:w="2251" w:type="dxa"/>
          </w:tcPr>
          <w:p w:rsidR="00000000" w:rsidRDefault="00B127C8">
            <w:pPr>
              <w:ind w:right="3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1,708,997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3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</w:t>
            </w:r>
          </w:p>
        </w:tc>
        <w:tc>
          <w:tcPr>
            <w:tcW w:w="1180" w:type="dxa"/>
          </w:tcPr>
          <w:p w:rsidR="00000000" w:rsidRDefault="00B127C8">
            <w:pPr>
              <w:tabs>
                <w:tab w:val="decimal" w:pos="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</w:t>
            </w:r>
          </w:p>
        </w:tc>
        <w:tc>
          <w:tcPr>
            <w:tcW w:w="2251" w:type="dxa"/>
          </w:tcPr>
          <w:p w:rsidR="00000000" w:rsidRDefault="00B127C8">
            <w:pPr>
              <w:ind w:right="3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325,600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30" w:type="dxa"/>
          </w:tcPr>
          <w:p w:rsidR="00000000" w:rsidRDefault="00B1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1180" w:type="dxa"/>
          </w:tcPr>
          <w:p w:rsidR="00000000" w:rsidRDefault="00B127C8">
            <w:pPr>
              <w:tabs>
                <w:tab w:val="decimal" w:pos="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  <w:tc>
          <w:tcPr>
            <w:tcW w:w="2251" w:type="dxa"/>
          </w:tcPr>
          <w:p w:rsidR="00000000" w:rsidRDefault="00B127C8">
            <w:pPr>
              <w:ind w:right="3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30" w:type="dxa"/>
            <w:tcBorders>
              <w:top w:val="single" w:sz="4" w:space="0" w:color="auto"/>
              <w:bottom w:val="double" w:sz="4" w:space="0" w:color="auto"/>
            </w:tcBorders>
          </w:tcPr>
          <w:p w:rsidR="00000000" w:rsidRDefault="00B127C8">
            <w:pPr>
              <w:rPr>
                <w:rFonts w:ascii="Arial" w:hAnsi="Arial"/>
                <w:sz w:val="16"/>
              </w:rPr>
            </w:pPr>
          </w:p>
        </w:tc>
        <w:tc>
          <w:tcPr>
            <w:tcW w:w="1180" w:type="dxa"/>
            <w:tcBorders>
              <w:top w:val="single" w:sz="4" w:space="0" w:color="auto"/>
              <w:bottom w:val="double" w:sz="4" w:space="0" w:color="auto"/>
            </w:tcBorders>
          </w:tcPr>
          <w:p w:rsidR="00000000" w:rsidRDefault="00B127C8">
            <w:pPr>
              <w:tabs>
                <w:tab w:val="decimal" w:pos="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  <w:tc>
          <w:tcPr>
            <w:tcW w:w="2251" w:type="dxa"/>
            <w:tcBorders>
              <w:top w:val="single" w:sz="4" w:space="0" w:color="auto"/>
              <w:bottom w:val="double" w:sz="4" w:space="0" w:color="auto"/>
            </w:tcBorders>
          </w:tcPr>
          <w:p w:rsidR="00000000" w:rsidRDefault="00B127C8">
            <w:pPr>
              <w:tabs>
                <w:tab w:val="decimal" w:pos="1026"/>
              </w:tabs>
              <w:ind w:right="3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2,035,000</w:t>
            </w:r>
          </w:p>
        </w:tc>
      </w:tr>
    </w:tbl>
    <w:p w:rsidR="00000000" w:rsidRDefault="00B127C8">
      <w:pPr>
        <w:ind w:right="-1231"/>
      </w:pPr>
    </w:p>
    <w:sectPr w:rsidR="00000000">
      <w:pgSz w:w="11907" w:h="16840" w:code="9"/>
      <w:pgMar w:top="567" w:right="74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27C8"/>
    <w:rsid w:val="00B1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B1B83-D947-4C5F-9CEB-B1FA1E3C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2004-06-16T13:55:00Z</cp:lastPrinted>
  <dcterms:created xsi:type="dcterms:W3CDTF">2022-09-01T21:32:00Z</dcterms:created>
  <dcterms:modified xsi:type="dcterms:W3CDTF">2022-09-01T21:32:00Z</dcterms:modified>
</cp:coreProperties>
</file>