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6AB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İZOCAM TİCARET VE SANAYİ ANONİM ŞİRKETİ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MİNERAL YÜNLER, EXTRÜDE POLİSTİREN, EXPANDE POLİSTİREN, ELASTOMERİK KAUÇUK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MİNERAL WOOL, EXTRUDED POLYSTYRENE, EXPANDED POL</w:t>
            </w:r>
            <w:r>
              <w:rPr>
                <w:rFonts w:ascii="Arial" w:hAnsi="Arial"/>
                <w:sz w:val="16"/>
              </w:rPr>
              <w:t>YSTYRENE, RUBBER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TEV KOCABAŞ İŞ HANI NO. 111 KAT: 6 GAYRETTEPE,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NURİ 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tabs>
                <w:tab w:val="left" w:pos="245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V. KOÇ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 xml:space="preserve">R. BÜLENT BULGURLU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ABDÜLHALİK TAYFUN İNDİRKAŞ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NADİR ÖZŞAHİN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ARİF NURİ BULUT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217 56 00(PBX) - 0262 754 63 90/6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217 55 96 – 0262 754 61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177(İDARİ) - 165(İŞÇİ) - 342(TOPLAM)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TOPLU SÖZLEŞME MEVCUT DEĞİLDİR.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</w:t>
            </w:r>
            <w:r>
              <w:rPr>
                <w:rFonts w:ascii="Arial" w:hAnsi="Arial"/>
                <w:b/>
                <w:sz w:val="16"/>
              </w:rPr>
              <w:t>ĞU İŞÇİ SENDİKASI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CAM, ÇİMENTO VE TOPRAK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21,000,000,000,000.-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  <w:r>
              <w:rPr>
                <w:rFonts w:ascii="Arial" w:hAnsi="Arial"/>
                <w:sz w:val="16"/>
              </w:rPr>
              <w:t>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066AB3">
      <w:pPr>
        <w:autoSpaceDE w:val="0"/>
        <w:autoSpaceDN w:val="0"/>
        <w:adjustRightInd w:val="0"/>
        <w:rPr>
          <w:rFonts w:ascii="Arial" w:hAnsi="Arial"/>
          <w:sz w:val="16"/>
        </w:rPr>
      </w:pPr>
    </w:p>
    <w:p w:rsidR="00000000" w:rsidRDefault="00066AB3">
      <w:pPr>
        <w:autoSpaceDE w:val="0"/>
        <w:autoSpaceDN w:val="0"/>
        <w:adjustRightInd w:val="0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20"/>
        <w:gridCol w:w="1138"/>
        <w:gridCol w:w="41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20" w:type="dxa"/>
          </w:tcPr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GENEL BİLGİLER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Şirketimiz kuruluşundan itibaren önderlik ettiği memleketimizin izolasyon sanayii sektörü içindeki seçkin yerini korumakta ve imalat çeş</w:t>
            </w:r>
            <w:r>
              <w:rPr>
                <w:rFonts w:ascii="Arial" w:hAnsi="Arial"/>
                <w:i/>
                <w:sz w:val="16"/>
              </w:rPr>
              <w:t xml:space="preserve">itlerine eklediği yeni mamullerle bu sektörü daha da geliştirmektedir. 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Şirketimizin imalat konusunun içerisinde önemli yer işgal eden ve mineral yün olarak anılan camyünleri ve taşyünleri, çeşitli tip, şekil ve terkiplerde imal edilerek, sınai ve zirai t</w:t>
            </w:r>
            <w:r>
              <w:rPr>
                <w:rFonts w:ascii="Arial" w:hAnsi="Arial"/>
                <w:i/>
                <w:sz w:val="16"/>
              </w:rPr>
              <w:t xml:space="preserve">esislerde, enerji yatırımlarında ve konut sektöründe ısı ve ses izolasyon malzemesi olarak gayet geniş bir kullanım sahası bulmaktadır. 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İmal etmekte olduğumuz bir diğer ürün grubumuz da Expande ve Extrüde Polistiren’lerdir. Bu ürünlerimiz özellikle ıslak</w:t>
            </w:r>
            <w:r>
              <w:rPr>
                <w:rFonts w:ascii="Arial" w:hAnsi="Arial"/>
                <w:i/>
                <w:sz w:val="16"/>
              </w:rPr>
              <w:t xml:space="preserve"> ve soğuk tip izolasyon uygulamalarında ve ambalaj malzemesi olarak yaygın bir şekilde kullanılmaktadır. 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Eskişehir’de üretmekte olduğumuz elastomerik kauçuklar ise ağırlıkı olarak boruların, tankların ve benzer soğuk tip tesisatın izolasyonunda kullanılm</w:t>
            </w:r>
            <w:r>
              <w:rPr>
                <w:rFonts w:ascii="Arial" w:hAnsi="Arial"/>
                <w:i/>
                <w:sz w:val="16"/>
              </w:rPr>
              <w:t>aktadır.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8" w:type="dxa"/>
          </w:tcPr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20" w:type="dxa"/>
          </w:tcPr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GENERAL INFORMATION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Our company is continuing an outstanding leader position in insulation industry of our country and improving this sector with the new products added to her product range.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Being in our company’s main production perspective, </w:t>
            </w:r>
            <w:r>
              <w:rPr>
                <w:rFonts w:ascii="Arial" w:hAnsi="Arial"/>
                <w:i/>
                <w:sz w:val="16"/>
              </w:rPr>
              <w:t>glass wool and stone wool are manufactured in various types, shapes and properties. These mineral wool products have a wide application area in heat and sound insulation of industrial, agricultural and power plants as well as residental constructions.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Exp</w:t>
            </w:r>
            <w:r>
              <w:rPr>
                <w:rFonts w:ascii="Arial" w:hAnsi="Arial"/>
                <w:i/>
                <w:sz w:val="16"/>
              </w:rPr>
              <w:t>anded ant extruded polystyrene products complete our insulation products range and are widely utilized for packaging purposes in addition to wet and cold insulation applications.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Elestomeric rubber pruducts are manufactured in Eskişehir Plant and are mainly used for cold insulation of pipes, tanks and similar installations.</w:t>
            </w:r>
          </w:p>
          <w:p w:rsidR="00000000" w:rsidRDefault="00066AB3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p w:rsidR="00000000" w:rsidRDefault="00066A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630"/>
        <w:gridCol w:w="1350"/>
        <w:gridCol w:w="810"/>
        <w:gridCol w:w="90"/>
        <w:gridCol w:w="1440"/>
        <w:gridCol w:w="873"/>
        <w:gridCol w:w="1710"/>
        <w:gridCol w:w="810"/>
        <w:gridCol w:w="90"/>
        <w:gridCol w:w="1260"/>
        <w:gridCol w:w="9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 (Ton)</w:t>
            </w:r>
          </w:p>
        </w:tc>
        <w:tc>
          <w:tcPr>
            <w:tcW w:w="81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0" w:type="dxa"/>
            <w:gridSpan w:val="2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Ekstrüde  Polistiren(m3) </w:t>
            </w:r>
          </w:p>
        </w:tc>
        <w:tc>
          <w:tcPr>
            <w:tcW w:w="873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1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Expande Polistiren(Ton)</w:t>
            </w:r>
          </w:p>
        </w:tc>
        <w:tc>
          <w:tcPr>
            <w:tcW w:w="81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50" w:type="dxa"/>
            <w:gridSpan w:val="2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İzocamflex Kauçuk(Ton)</w:t>
            </w:r>
          </w:p>
        </w:tc>
        <w:tc>
          <w:tcPr>
            <w:tcW w:w="90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Wool(Tons)</w:t>
            </w:r>
          </w:p>
        </w:tc>
        <w:tc>
          <w:tcPr>
            <w:tcW w:w="81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30" w:type="dxa"/>
            <w:gridSpan w:val="2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Polystyrene(m3)</w:t>
            </w:r>
          </w:p>
        </w:tc>
        <w:tc>
          <w:tcPr>
            <w:tcW w:w="873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1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Polystyrene(Tons)</w:t>
            </w:r>
          </w:p>
        </w:tc>
        <w:tc>
          <w:tcPr>
            <w:tcW w:w="900" w:type="dxa"/>
            <w:gridSpan w:val="2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6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Rubber(Ton)</w:t>
            </w:r>
          </w:p>
        </w:tc>
        <w:tc>
          <w:tcPr>
            <w:tcW w:w="90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50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40,637</w:t>
            </w:r>
          </w:p>
        </w:tc>
        <w:tc>
          <w:tcPr>
            <w:tcW w:w="900" w:type="dxa"/>
            <w:gridSpan w:val="2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440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114,588</w:t>
            </w:r>
          </w:p>
        </w:tc>
        <w:tc>
          <w:tcPr>
            <w:tcW w:w="873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710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5,657</w:t>
            </w:r>
          </w:p>
        </w:tc>
        <w:tc>
          <w:tcPr>
            <w:tcW w:w="900" w:type="dxa"/>
            <w:gridSpan w:val="2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260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</w:t>
            </w:r>
          </w:p>
        </w:tc>
        <w:tc>
          <w:tcPr>
            <w:tcW w:w="900" w:type="dxa"/>
          </w:tcPr>
          <w:p w:rsidR="00000000" w:rsidRDefault="00066A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50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30,708</w:t>
            </w:r>
          </w:p>
        </w:tc>
        <w:tc>
          <w:tcPr>
            <w:tcW w:w="900" w:type="dxa"/>
            <w:gridSpan w:val="2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440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106,863</w:t>
            </w:r>
          </w:p>
        </w:tc>
        <w:tc>
          <w:tcPr>
            <w:tcW w:w="873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710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4,603</w:t>
            </w:r>
          </w:p>
        </w:tc>
        <w:tc>
          <w:tcPr>
            <w:tcW w:w="900" w:type="dxa"/>
            <w:gridSpan w:val="2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260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</w:t>
            </w:r>
          </w:p>
        </w:tc>
        <w:tc>
          <w:tcPr>
            <w:tcW w:w="900" w:type="dxa"/>
          </w:tcPr>
          <w:p w:rsidR="00000000" w:rsidRDefault="00066A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66AB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66AB3">
      <w:pPr>
        <w:rPr>
          <w:rFonts w:ascii="Arial" w:hAnsi="Arial"/>
          <w:sz w:val="16"/>
        </w:rPr>
      </w:pPr>
    </w:p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</w:t>
            </w:r>
            <w:r>
              <w:rPr>
                <w:rFonts w:ascii="Arial" w:hAnsi="Arial"/>
                <w:sz w:val="16"/>
              </w:rPr>
              <w:t xml:space="preserve"> ile satış miktarı bilgileri aşağıda gösterilmiştir.</w:t>
            </w:r>
          </w:p>
        </w:tc>
        <w:tc>
          <w:tcPr>
            <w:tcW w:w="1134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9"/>
        <w:gridCol w:w="2448"/>
        <w:gridCol w:w="1908"/>
        <w:gridCol w:w="2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9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 (Ton)</w:t>
            </w:r>
          </w:p>
        </w:tc>
        <w:tc>
          <w:tcPr>
            <w:tcW w:w="2448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Ekstrüde  Polistiren(m3) </w:t>
            </w:r>
          </w:p>
        </w:tc>
        <w:tc>
          <w:tcPr>
            <w:tcW w:w="1908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Expande Polistiren</w:t>
            </w:r>
          </w:p>
        </w:tc>
        <w:tc>
          <w:tcPr>
            <w:tcW w:w="2214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İzocamflex Kauçuk(Ton)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9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Wool(Tons)</w:t>
            </w:r>
          </w:p>
        </w:tc>
        <w:tc>
          <w:tcPr>
            <w:tcW w:w="2448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yrene(m3)</w:t>
            </w:r>
          </w:p>
        </w:tc>
        <w:tc>
          <w:tcPr>
            <w:tcW w:w="1908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Polystyrene(Tons)</w:t>
            </w:r>
          </w:p>
        </w:tc>
        <w:tc>
          <w:tcPr>
            <w:tcW w:w="2214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9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40,445</w:t>
            </w:r>
          </w:p>
        </w:tc>
        <w:tc>
          <w:tcPr>
            <w:tcW w:w="2448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113,238</w:t>
            </w:r>
          </w:p>
        </w:tc>
        <w:tc>
          <w:tcPr>
            <w:tcW w:w="1908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5,484</w:t>
            </w:r>
          </w:p>
        </w:tc>
        <w:tc>
          <w:tcPr>
            <w:tcW w:w="2214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9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31.346</w:t>
            </w:r>
          </w:p>
        </w:tc>
        <w:tc>
          <w:tcPr>
            <w:tcW w:w="2448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112.030</w:t>
            </w:r>
          </w:p>
        </w:tc>
        <w:tc>
          <w:tcPr>
            <w:tcW w:w="1908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4.535</w:t>
            </w:r>
          </w:p>
        </w:tc>
        <w:tc>
          <w:tcPr>
            <w:tcW w:w="2214" w:type="dxa"/>
          </w:tcPr>
          <w:p w:rsidR="00000000" w:rsidRDefault="00066A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</w:t>
            </w:r>
            <w:r>
              <w:rPr>
                <w:rFonts w:ascii="Arial" w:hAnsi="Arial"/>
                <w:i/>
                <w:sz w:val="16"/>
              </w:rPr>
              <w:t>mpany realized  in the last two years  are given below.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172"/>
        <w:gridCol w:w="2058"/>
        <w:gridCol w:w="17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172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1770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(Milyon $) </w:t>
            </w:r>
          </w:p>
        </w:tc>
        <w:tc>
          <w:tcPr>
            <w:tcW w:w="2172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(Milyon$)</w:t>
            </w:r>
          </w:p>
        </w:tc>
        <w:tc>
          <w:tcPr>
            <w:tcW w:w="1770" w:type="dxa"/>
          </w:tcPr>
          <w:p w:rsidR="00000000" w:rsidRDefault="00066AB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765" w:type="dxa"/>
          </w:tcPr>
          <w:p w:rsidR="00000000" w:rsidRDefault="00066A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9,597,045</w:t>
            </w:r>
          </w:p>
        </w:tc>
        <w:tc>
          <w:tcPr>
            <w:tcW w:w="2172" w:type="dxa"/>
          </w:tcPr>
          <w:p w:rsidR="00000000" w:rsidRDefault="00066AB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058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24,503,413</w:t>
            </w:r>
          </w:p>
        </w:tc>
        <w:tc>
          <w:tcPr>
            <w:tcW w:w="1770" w:type="dxa"/>
          </w:tcPr>
          <w:p w:rsidR="00000000" w:rsidRDefault="00066AB3">
            <w:pPr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066A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172" w:type="dxa"/>
          </w:tcPr>
          <w:p w:rsidR="00000000" w:rsidRDefault="00066AB3">
            <w:pPr>
              <w:ind w:right="25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58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70" w:type="dxa"/>
          </w:tcPr>
          <w:p w:rsidR="00000000" w:rsidRDefault="00066AB3">
            <w:pPr>
              <w:ind w:right="39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65" w:type="dxa"/>
          </w:tcPr>
          <w:p w:rsidR="00000000" w:rsidRDefault="00066A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12,194,222</w:t>
            </w:r>
          </w:p>
        </w:tc>
        <w:tc>
          <w:tcPr>
            <w:tcW w:w="2172" w:type="dxa"/>
          </w:tcPr>
          <w:p w:rsidR="00000000" w:rsidRDefault="00066AB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2058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25,619,026</w:t>
            </w:r>
          </w:p>
        </w:tc>
        <w:tc>
          <w:tcPr>
            <w:tcW w:w="1770" w:type="dxa"/>
          </w:tcPr>
          <w:p w:rsidR="00000000" w:rsidRDefault="00066AB3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6A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65" w:type="dxa"/>
          </w:tcPr>
          <w:p w:rsidR="00000000" w:rsidRDefault="00066AB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172" w:type="dxa"/>
          </w:tcPr>
          <w:p w:rsidR="00000000" w:rsidRDefault="00066AB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58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770" w:type="dxa"/>
          </w:tcPr>
          <w:p w:rsidR="00000000" w:rsidRDefault="00066AB3">
            <w:pPr>
              <w:ind w:right="39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66AB3">
      <w:pPr>
        <w:rPr>
          <w:rFonts w:ascii="Arial" w:hAnsi="Arial"/>
          <w:b/>
          <w:sz w:val="16"/>
          <w:u w:val="single"/>
        </w:rPr>
      </w:pPr>
    </w:p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66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p w:rsidR="00000000" w:rsidRDefault="00066A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630"/>
        <w:gridCol w:w="20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63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016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6AB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articipations</w:t>
            </w:r>
          </w:p>
        </w:tc>
        <w:tc>
          <w:tcPr>
            <w:tcW w:w="263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 (Milyon TL)</w:t>
            </w:r>
          </w:p>
        </w:tc>
        <w:tc>
          <w:tcPr>
            <w:tcW w:w="2016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Finansal Hizmetler A.Ş.</w:t>
            </w:r>
          </w:p>
        </w:tc>
        <w:tc>
          <w:tcPr>
            <w:tcW w:w="2630" w:type="dxa"/>
          </w:tcPr>
          <w:p w:rsidR="00000000" w:rsidRDefault="00066AB3">
            <w:pPr>
              <w:ind w:right="3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581,963,874.- TL</w:t>
            </w:r>
          </w:p>
        </w:tc>
        <w:tc>
          <w:tcPr>
            <w:tcW w:w="2016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Balfour Beatty İnş.San.ve Tic.A.Ş.</w:t>
            </w:r>
          </w:p>
        </w:tc>
        <w:tc>
          <w:tcPr>
            <w:tcW w:w="2630" w:type="dxa"/>
          </w:tcPr>
          <w:p w:rsidR="00000000" w:rsidRDefault="00066AB3">
            <w:pPr>
              <w:ind w:right="3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6,600,000.- TL</w:t>
            </w:r>
          </w:p>
        </w:tc>
        <w:tc>
          <w:tcPr>
            <w:tcW w:w="2016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Dış Ticaret A.Ş.</w:t>
            </w:r>
          </w:p>
        </w:tc>
        <w:tc>
          <w:tcPr>
            <w:tcW w:w="2630" w:type="dxa"/>
          </w:tcPr>
          <w:p w:rsidR="00000000" w:rsidRDefault="00066AB3">
            <w:pPr>
              <w:ind w:right="3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4,000,000.- TL</w:t>
            </w:r>
          </w:p>
        </w:tc>
        <w:tc>
          <w:tcPr>
            <w:tcW w:w="2016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Elektrik Üretimi Otoprodük</w:t>
            </w:r>
            <w:r>
              <w:rPr>
                <w:rFonts w:ascii="Arial" w:hAnsi="Arial"/>
                <w:sz w:val="16"/>
              </w:rPr>
              <w:t>tör Grubu A.Ş.</w:t>
            </w:r>
          </w:p>
        </w:tc>
        <w:tc>
          <w:tcPr>
            <w:tcW w:w="2630" w:type="dxa"/>
          </w:tcPr>
          <w:p w:rsidR="00000000" w:rsidRDefault="00066AB3">
            <w:pPr>
              <w:ind w:right="3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94,200,000.- TL</w:t>
            </w:r>
          </w:p>
        </w:tc>
        <w:tc>
          <w:tcPr>
            <w:tcW w:w="2016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p w:rsidR="00000000" w:rsidRDefault="00066A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6A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6A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66AB3">
      <w:pPr>
        <w:rPr>
          <w:rFonts w:ascii="Arial" w:hAnsi="Arial"/>
          <w:sz w:val="16"/>
        </w:rPr>
      </w:pPr>
    </w:p>
    <w:p w:rsidR="00000000" w:rsidRDefault="00066AB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6AB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52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6AB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Holders</w:t>
            </w:r>
          </w:p>
        </w:tc>
        <w:tc>
          <w:tcPr>
            <w:tcW w:w="1908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520" w:type="dxa"/>
          </w:tcPr>
          <w:p w:rsidR="00000000" w:rsidRDefault="00066A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66AB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5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VE YATIRIM A.Ş.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6,214,417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4,275,986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25,433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554,750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554,750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554,750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63,020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KOÇ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25,433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 MADENCİLİK DAYANAKLI MALLAR YATIRIM VE PAZARLAMA A.Ş.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466,667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RMK MAHDUMLARI A.Ş.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105,000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7,859,794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66AB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66AB3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21,000,000</w:t>
            </w:r>
          </w:p>
        </w:tc>
        <w:tc>
          <w:tcPr>
            <w:tcW w:w="2520" w:type="dxa"/>
          </w:tcPr>
          <w:p w:rsidR="00000000" w:rsidRDefault="00066AB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066AB3">
      <w:pPr>
        <w:jc w:val="both"/>
        <w:rPr>
          <w:rFonts w:ascii="Arial" w:hAnsi="Arial"/>
          <w:sz w:val="16"/>
        </w:rPr>
      </w:pPr>
    </w:p>
    <w:p w:rsidR="00000000" w:rsidRDefault="00066AB3">
      <w:pPr>
        <w:jc w:val="both"/>
        <w:rPr>
          <w:rFonts w:ascii="Arial" w:hAnsi="Arial"/>
          <w:sz w:val="16"/>
        </w:rPr>
      </w:pPr>
    </w:p>
    <w:p w:rsidR="00000000" w:rsidRDefault="00066AB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AB3"/>
    <w:rsid w:val="000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9DFC-29DC-4B6F-82A2-5DC0FE22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2004-06-01T17:55:00Z</cp:lastPrinted>
  <dcterms:created xsi:type="dcterms:W3CDTF">2022-09-01T21:32:00Z</dcterms:created>
  <dcterms:modified xsi:type="dcterms:W3CDTF">2022-09-01T21:32:00Z</dcterms:modified>
</cp:coreProperties>
</file>